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F-1068/2025 vom 21. Februar 2025</w:t>
      </w:r>
    </w:p>
    <w:p>
      <w:r>
        <w:t>Bundesverwaltungsgericht, 2025-02-21, FR</w:t>
      </w:r>
    </w:p>
    <w:p>
      <w:r>
        <w:rPr>
          <w:b/>
        </w:rPr>
        <w:t xml:space="preserve">Quelle: </w:t>
      </w:r>
      <w:r>
        <w:t>https://mcp.opencaselaw.ch/entscheid/bvger_F-1068_2025</w:t>
      </w:r>
    </w:p>
    <w:p>
      <w:r>
        <w:t>FR: TAF F-1068/2025 du 21 février 2025</w:t>
      </w:r>
    </w:p>
    <w:p>
      <w:r>
        <w:t>IT: TAF F-1068/2025 del 21 febbraio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(art. 48 al. 1 PA). Le mémoire de recours doit indiquer les conclusions, motifs et moyens de preuve et porter la signature du recourant ou de son mandataire (art. 52 al. 1 PA). En l'espèce, le recours ne satisfait pas entièrement aux conditions susmentionnées, en ce qu'il ne porte pas la signature manuscrite du recourant. Vu l'issue du recours, le Tribunal renonce, pour des motifs liés au principe de célérité ainsi qu'à l'économie de procédure, à impartir un délai supplémentaire au recourant pour régulariser son recours. Au surplus, le recours est présenté dans le délai prescrit par la loi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3.1</w:t>
      </w:r>
    </w:p>
    <w:p>
      <w:r>
        <w:t>Le Tribunal, saisi d'un recours contre une décision de non-entrée en matière sur une demande d'asile, se limite à examiner le bien-fondé d'une telle décision (ATAF 2014/39 consid. 2).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3.3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 2017 VI/5 consid. 6.2 et 8.2.1).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est tenu de reprendre en charge - dans les conditions prévues aux art. 23, 24, 25 et 29 - le demandeur dont la demande est en cours d'examen ou a été rejetée et qui a présenté une demande auprès d'un autre Etat membre ou qui se trouve, sans titre de séjour, sur le territoire d'un autre Etat membre (cf. art. 18 par. 1 let. b et let. d du règlement Dublin III).</w:t>
      </w:r>
    </w:p>
    <w:p>
      <w:r>
        <w:rPr>
          <w:b/>
        </w:rPr>
        <w:t>E. 3.4</w:t>
      </w:r>
    </w:p>
    <w:p>
      <w:r>
        <w:t>En l'espèce, le SEM a établi, après consultation de l'unité centrale du système européen « Eurodac », que l'intéressé avait notamment déposé une demande d'asile en France, les 15 mars 2022 et 21 juin 2023. Le 28 janvier 2025, le SEM a soumis aux autorités françaises compétentes, dans le délai fixé à l'art. 23 par. 2 RD III, une requête aux fins de la reprise en charge du requérant, fondée sur l'art. 18 par. 1 let. b de ce même règlement. Le 11 février 2025, soit dans le délai fixé par l'art. 25 par. 1 RD III, lesdites autorités ont expressément accepté de le reprendre en charge sur la base de l'art. 18 par. 1 let. d RD III. Ainsi, la France a valablement reconnu sa compétence pour traiter la demande d'asile du recourant. Le fait que la base réglementaire indiquée sur la demande de reprise en charge soumise par le SEM (art. 18 par. 1 let. b RD III) diffère de celle mentionnée par les autorités françaises dans leur réponse (art. 18 par. 1 let. d RD III) ne saurait remettre en cause ce raisonnement. Dans ces deux hypothèses, en effet, les procédures applicables - et en particulier les délais auxquels elles sont soumises - sont identiques (cf. art. 23 ss. du règlement Dublin III; cf. ATAF 2019 VI/7 consid. 6.2).</w:t>
      </w:r>
    </w:p>
    <w:p>
      <w:r>
        <w:rPr>
          <w:b/>
        </w:rPr>
        <w:t>E. 4</w:t>
      </w:r>
    </w:p>
    <w:p>
      <w:r>
        <w:t>Cela étant, il y a lieu d'examiner, en vertu de l'art. 3 par. 2 du règlement Dublin III,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4.1</w:t>
      </w:r>
    </w:p>
    <w:p>
      <w:r>
        <w:t>De jurisprudence constante, tel n'est pas le cas (cf., notamment, arrêts du TAF F-395/2025 du 23 janvier 2025 consid. 3.3 et F-6418/2024 du 16 octobre 2024 p. 5).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[refonte], JO L 180/60 du 29.6.2013 [directive Procédure]), demeure présumé (cf. ATAF 2017 VI/5 consid. 8.4 et 2010/45 consid. 7.4 et 7.5).</w:t>
      </w:r>
    </w:p>
    <w:p>
      <w:r>
        <w:rPr>
          <w:b/>
        </w:rPr>
        <w:t>E. 4.2</w:t>
      </w:r>
    </w:p>
    <w:p>
      <w:r>
        <w:t>Si cette présomption peut être renversée par des indices sérieux que les autorités ne respecteraient pas le droit international (cf. arrêt du TAFF-6287/2024 du 17 octobre 2024 consid. 8.2), force est de constater que le recourant n'a pas amené d'éléments probants permettant de parvenir à une telle conclusion. Le fait que le recourant invoque, durant son entretien Dublin et à l'appui de son recours, n'avoir reçu, en France, ni hébergement ni aide et n'avoir bénéficié d'aucune assistance juridique ne saurait conduire le Tribunal à revenir sur sa jurisprudence précitée concernant l'absence de défaillances systémiques dans ce pays. Toutefois, si l'intéressé devait être contraint par les circonstances à mener dans ce pays une existence non conforme à la dignité humaine ou s'il devait estimer que la France viole ses obligations d'assistance à son encontre ou de toute autre manière porte atteinte à ses droits fondamentaux, il lui appartiendrait de faire valoir ses droits directement auprès des autorités françaises en usant des voies de droit adéquates (cf. art. 26 par. 1 de la directive n° 2013/33/UE du Parlement européen et du Conseil du 26 juin 2013 établissant des normes pour l'accueil des personnes demandant la protection internationale [directive Accueil]).</w:t>
      </w:r>
    </w:p>
    <w:p>
      <w:r>
        <w:rPr>
          <w:b/>
        </w:rPr>
        <w:t>E. 4.3</w:t>
      </w:r>
    </w:p>
    <w:p>
      <w:r>
        <w:t>Partant, l'application de l'art. 3 par. 2 du règlement Dublin III ne se justifie pas. 5.Sur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du Tribunal,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Cour de justice de l'Union européenne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 5.1 A l'exception d'une photographie d'une blessure sur son bras, le recourant n'a produit aucun moyen de preuve propre à établir ses affections médicales. Il s'est en particulier limité, durant son entretien Dublin, à évoquer des problèmes aux dents et des problèmes psychologiques, sans fournir par la suite un document ou rapport médical. Le dossier de la cause ne révèle donc pas de problèmes de santé tels qu'un transfert vers la France exposerait le recourant à un déclin grave et irréversible de son état de santé entraînant des souffrances intenses ou une réduction significative de son espérance de vie (cf. arrêt de la Cour européenne des droits de l'homme, Paposhvili c. Belgique [GC] du 13 décembre 2016, requête n° 41738/10 ; ATAF 2017 VI/7 consid. 6.2). 5.2 Il s'ensuit que son transfert vers cet Etat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6.Au vu de ce qui précède,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 dans la mesure de sa recevabilité. 7.S'avérant manifestement infondé, le présent recours est rejeté dans une procédure à juge unique, avec l'approbation d'un second juge (art. 111 let. e LAsi). Il est par ailleurs renoncé à un échange d'écritures et l'arrêt n'est motivé que sommairement (cf. art. 111a al. 1 et 2 LAsi).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