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F-1065/2021 vom 17. März 2021</w:t>
      </w:r>
    </w:p>
    <w:p>
      <w:r>
        <w:t>Bundesverwaltungsgericht, 2021-03-17, DE</w:t>
      </w:r>
    </w:p>
    <w:p>
      <w:r>
        <w:rPr>
          <w:b/>
        </w:rPr>
        <w:t xml:space="preserve">Quelle: </w:t>
      </w:r>
      <w:r>
        <w:t>https://mcp.opencaselaw.ch/entscheid/bvger_F-1065_2021</w:t>
      </w:r>
    </w:p>
    <w:p>
      <w:r>
        <w:t>FR: TAF F-1065/2021 du 17 mars 2021</w:t>
      </w:r>
    </w:p>
    <w:p>
      <w:r>
        <w:t>IT: TAF F-1065/2021 del 17 marzo 2021</w:t>
      </w:r>
    </w:p>
    <w:p>
      <w:pPr>
        <w:pStyle w:val="Heading2"/>
      </w:pPr>
      <w:r>
        <w:t>Regeste</w:t>
      </w:r>
    </w:p>
    <w:p>
      <w:r>
        <w:t>Nichteintreten auf Asylgesuch und Wegweisung (Dublin-Verfahren)</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Der Beschwerdeführer hat die Ziffer 4 der vorinstanzlichen Verfügung (ZEMIS-Eintrag) nicht angefochten. Gegenstand des vorliegenden Beschwerdeverfahrens bildet somit einzig die Frage, ob die Vorinstanz zu Recht nicht auf sein Asylgesuch eingetreten ist und die Wegweisung nach Österreich verfügt hat.</w:t>
      </w:r>
    </w:p>
    <w:p>
      <w:r>
        <w:rPr>
          <w:b/>
        </w:rPr>
        <w:t>E. 1.3</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österreichischen Behörden stimmten dem Übernahmeersuchen der Vorinstanz innert der in Art. 25 Abs. 1 Dublin-III-VO festgelegten Frist zu. Die Zuständigkeit Österreichs ist somit grundsätzlich gegeben.</w:t>
      </w:r>
    </w:p>
    <w:p>
      <w:r>
        <w:rPr>
          <w:b/>
        </w:rPr>
        <w:t>E. 3.3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w:t>
      </w:r>
    </w:p>
    <w:p>
      <w:r>
        <w:rPr>
          <w:b/>
        </w:rPr>
        <w:t>E. 4.1</w:t>
      </w:r>
    </w:p>
    <w:p>
      <w:r>
        <w:t>Der Beschwerdeführer bringt vor, im Falle einer Wegweisung nach Österreich werde er von den österreichischen Behörden nach Afghanistan ausgeschafft, was eine Verletzung von Art. 3 EMRK darstellen würde. Das sogenannte Non-Refoulement-Gebot gemäss Art. 3 EMRK verbietet es der Schweiz, die Wegweisung eines Ausländers zu vollziehen, wenn es objektive Anhaltspunkte beziehungweise ein "real risk" dafür gebe, dass dieser bei der Rückkehr in den Heimatstaat mit beachtlicher Wahrscheinlichkeit eine durch eben diesen Artikel verbotene Strafe oder Behandlung drohe. Dies habe auch der EGMR in seiner Rechtsprechung festgehalten. Das UNHCR habe in ihrem Länderbericht festgehalten, dass 90 % aller aus Europa nach Afghanistan zurückgeschafften Personen nach ihrer Ankunft Gewalt erlebten. Zudem habe sich die Vorinstanz im Rahmen der Prüfung des Selbsteintritts aus humanitären Gründen nach Art. 29a Abs. 3 AsylV 1 einzig auf Textbausteine gestützt, statt auf eine drohende Kettenabschiebung und seinen Gesundheitszustand einzugehen.</w:t>
      </w:r>
    </w:p>
    <w:p>
      <w:r>
        <w:rPr>
          <w:b/>
        </w:rPr>
        <w:t>E. 4.2.1</w:t>
      </w:r>
    </w:p>
    <w:p>
      <w:r>
        <w:t>Das Bundesverwaltungsgericht geht - wie bereits die Vorinstanz - davon aus, dass es keine wesentlichen Gründe für die Annahme gibt, das Asylverfahren und die Aufnahmebedingungen für asylsuchende Personen in Österreich wiesen systemische Schwachstellen im Sinne von Art. 3 Abs. 2 Dublin-III-VO auf, die eine Gefahr einer unmenschlichen oder entwürdigenden Behandlung im Sinne des Artikels 4 der EU-Grundrechtecharta und Art. 3 EMRK mit sich bringen würden. 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ist somit anzunehmen,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Der Beschwerdeführer hat kein konkretes und ernsthaftes Risiko dargetan, dass die österreichischen Behörden in seinem Fall den erwähnten völkerrechtlichen Verpflichtungen nicht nachkommen würden. Insbesondere gibt es keine Hinweise, dass die Behandlung seines Asylgesuchs mangelhaft gewesen sein könnte und Österreich in seinem Fall den Grundsatz des Non-Refoulement (Art. 33 FK) missachten und ihn zur Ausreise in ein Land zwingen würde, in welchem ihm eine asylrelevante Verfolgung nach Art. 3 Abs. 1 AsylG drohen würde. Gemäss den Akten war es dem Beschwerdeführer auch möglich, den negativen Asylentscheid durch mehrere Rechtsmittelinstanzen überprüfen zu lassen. In diesem Zusammenhang ist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Art. 3 Abs. 2 Dublin-III-VO kommt daher nicht zur Anwendung.</w:t>
      </w:r>
    </w:p>
    <w:p>
      <w:r>
        <w:rPr>
          <w:b/>
        </w:rPr>
        <w:t>E. 4.2.2</w:t>
      </w:r>
    </w:p>
    <w:p>
      <w:r>
        <w:t>In Bezug auf den geforderten Selbsteintritt nach Art. 17 Abs. 1 Dublin-III-VO respektive Art. 29a Abs. 3 AsylV 1 ist festzuhalten, dass Entscheide anderer Vertragsstaaten -im gegenseitigen Vertrauen darauf, dass die jeweiligen nationalen Asylrechtsstandards zumindest den Anforderungen der Europäischen Richtlinien in diesem Bereich entsprechen - sowohl mit Blick auf die materielle Beurteilung der Asylgründe als auch mit Blick auf die Zulässigkeit und Zumutbarkeit des Wegweisungsvollzugs in den Herkunfts- oder Heimatstaat anerkannt werden, ohne dass sie in der Sache hinterfragt würden. Der Beschwerdeführer kann demnach aufgrund einer allenfalls unterschiedlichen Einschätzung im Rahmen des materiellen Asylverfahrens nicht erwirken, dass die Vorinstanz einen Selbsteintritt aus humanitären Gründen prüfen muss (Urteil des BVGer F-4030/2020 vom 18. August 2020 E. 5.2). Es ergeben sich somit weder aus den Vorbringen im Beschwerdeverfahren noch aus den Akten Indizien für eine gesetzeswidrige Ermessensausübung durch die Vorinstanz. Nach seinem Gesundheitszustand gefragt, gab der Beschwerdeführer an, seit Erhalt des negativen Asylentscheids in Österreich flippe er wegen jeder Kleinigkeit aus, leide unter Schlaflosigkeit und sei völlig verzweifelt. Gemäss Arztbericht vom 25. Januar 2021 litt der Beschwerdeführer an Skabies, das behandelt wurde. Weitere gesundheitliche Beschwerden sind nicht aufgeführt. Seine geltend gemachten gesundheitlichen Probleme sind nicht von einer derartigen Schwere, dass aus humanitären Gründen von einer Überstellung nach Österreich abgesehen werden müsste. Im Übrigen verfügt Österreich über eine ausreichende medizinische Infrastruktur, welche der Beschwerdeführer im Bedarfsfall in Anspruch nehmen kann. Ein Selbsteintritt aus humanitären Gründen ist bei dieser Sachlage nicht angezeigt.</w:t>
      </w:r>
    </w:p>
    <w:p>
      <w:r>
        <w:rPr>
          <w:b/>
        </w:rPr>
        <w:t>E. 5</w:t>
      </w:r>
    </w:p>
    <w:p>
      <w:r>
        <w:t>Nach dem Gesagten ist die Beschwerde abzuweisen. Mit dem vorliegenden Urteil fällt der am 11. März 2021 angeordnete Vollzugsstopp dahin. Das Gesuch um Erteilung der aufschiebenden Wirkung ist gegenstandslos geworden.</w:t>
      </w:r>
    </w:p>
    <w:p>
      <w:r>
        <w:rPr>
          <w:b/>
        </w:rPr>
        <w:t>E. 6.1</w:t>
      </w:r>
    </w:p>
    <w:p>
      <w:r>
        <w:t>Die gestellten Begehren erweisen sich als aussichtslos, weshalb das Gesuch um unentgeltliche Prozessführung ungeachtet einer allfälligen prozessualen Bedürftigkeit abzuweisen ist (Art. 65 Abs. 1 VwVG).</w:t>
      </w:r>
    </w:p>
    <w:p>
      <w:r>
        <w:rPr>
          <w:b/>
        </w:rPr>
        <w:t>E. 6.2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