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F-1061/2018 vom 11. März 2019</w:t>
      </w:r>
    </w:p>
    <w:p>
      <w:r>
        <w:t>Bundesverwaltungsgericht, 2019-03-11, FR</w:t>
      </w:r>
    </w:p>
    <w:p>
      <w:r>
        <w:rPr>
          <w:b/>
        </w:rPr>
        <w:t xml:space="preserve">Quelle: </w:t>
      </w:r>
      <w:r>
        <w:t>https://mcp.opencaselaw.ch/entscheid/bvger_F-1061_2018</w:t>
      </w:r>
    </w:p>
    <w:p>
      <w:r>
        <w:t>FR: TAF F-1061/2018 du 11 mars 2019</w:t>
      </w:r>
    </w:p>
    <w:p>
      <w:r>
        <w:t>IT: TAF F-1061/2018 del 11 marzo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2.4</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et l'OIE.</w:t>
      </w:r>
    </w:p>
    <w:p>
      <w:r>
        <w:rPr>
          <w:b/>
        </w:rPr>
        <w:t>E. 3</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4.1</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 arrêts du TAF C-183/2014 du 21 janvier 2016 consid. 3.3.1 ; C-1325/2014 du 22 octobre 2014 consid. 3.1, et réf. citées).</w:t>
      </w:r>
    </w:p>
    <w:p>
      <w:r>
        <w:rPr>
          <w:b/>
        </w:rPr>
        <w:t>E. 4.2</w:t>
      </w:r>
    </w:p>
    <w:p>
      <w:r>
        <w:t>L'ancien art. 80 OASA (abrogé par la modification du 15 août 2018) disposait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ancien art. 80 OASA). Une interdiction d'entrée peut notamment être prononcée lorsque l'étranger a violé les prescriptions du droit des étrangers (cf. Message LEtr,p. 3568 ad art. 66 du projet, et ancien art. 80 OASA ; arrêt du TAF F-7274/2015 du 16 août 2016 consid. 4.3.3; Zünd / Arquint Hill, Beendigung der Anwesenheit, Entfernung und Fernhaltung, in: Uebersax / Rudin / Hugi Yar/ Geiser [éd.], Ausländerrecht, 2ème éd., 2009, p. 355 ch. 8.80). Selon la jurisprudence, le fait d'entrer, de séjourner ou de travailler en Suisse sans autorisation représente une violation grave des prescriptions de police des étrangers (cf. notamment arrêts du TAF F-7274/2015 consid. 4.3.3; C-6184/2014 du 6 avril 2016 consid. 4.2, et réf. citées).</w:t>
      </w:r>
    </w:p>
    <w:p>
      <w:r>
        <w:rPr>
          <w:b/>
        </w:rPr>
        <w:t>E. 4.3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F-7274/2015 consid. 4.4; C-183/2014 consid. 3.5; Zünd / Arquint Hill, op. cit., p. 356 ch. 8.80, et réf. citées).</w:t>
      </w:r>
    </w:p>
    <w:p>
      <w:r>
        <w:rPr>
          <w:b/>
        </w:rPr>
        <w:t>E. 5.1</w:t>
      </w:r>
    </w:p>
    <w:p>
      <w:r>
        <w:t>En l'espèce, l'autorité intimée a prononcé à l'endroit de A._______, ressortissant originaire du Soudan du Sud, une interdiction d'entrée en Suisse d'une durée de cinq ans en application de l'art. 67 al. 2 let. a et c LEtr, motif pris, d'une part, que l'intéressé avait fait l'objet d'une décision de renvoi en vertu des accords d'association à Dublin et avait été mis en détention afin d'assurer l'exécution de cette décision et, d'autre part, qu'il avait fait l'objet de deux condamnations pénales en Suisse pour infractions à la LEtr ainsi qu'à la LStup. Tant dans son mémoire de recours que par la suite, l'intéressé a contesté la teneur des ordonnances pénales dont il a fait l'objet, considérant dès lors que son intérêt privé à demeurer en Suisse devait l'emporter sur l'intérêt public à son éloignement.</w:t>
      </w:r>
    </w:p>
    <w:p>
      <w:r>
        <w:rPr>
          <w:b/>
        </w:rPr>
        <w:t>E. 5.2</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5.3</w:t>
      </w:r>
    </w:p>
    <w:p>
      <w:r>
        <w:t>En l'espèce, l'intéressé a été condamné à deux reprises pour infractions à la LStup et à la LEtr. Ces prononcés pénaux sont entrés en force, de sorte que la jurisprudence susmentionnée trouve application. Aussi, c'est à juste titre que le SEM en a tenu compte dans son prononcé du 7 février 2018. Cela étant, le recourant a prétendu ne pas avoir pu faire opposition à ces prononcés pénaux, faute d'avoir eu connaissance des moyens de droit disponibles et l'eût-il fait, que le résultat aurait été sans nul doute différent. Cette argumentation ne saurait toutefois convaincre. En effet, tout d'abord le Tribunal relève que les voies de droit sont mentionnées sur les ordonnances pénales, dont le contenu a été traduit à l'intéressé. Il constate ensuite que lors du prononcé de l'ordre de mise en détention administrative - pris sur la base de l'ordonnance pénale du 7 juin 2017 - l'intéressé a une nouvelle fois été informé des possibilités qui s'offraient à lui de contester les décisions dont il faisait l'objet. Enfin, le Tribunal constate que dans un autre contexte, soit dans le cadre du prononcé du 22 février 2018 de l'OCPM, l'intéressé n'a eu aucune difficulté à porter la cause par devant le Tribunal administratif de première instance (cf. lettre D ci-dessus). Aussi, l'intéressé ne peut s'en prendre qu'à lui-même de ne pas avoir fait opposition dans les délais aux ordonnances rendues les 7 juin et 21 septembre 2017 et le dossier ne fait apparaître aucune raison sérieuse permettant de s'écarter des faits et de l'appréciation retenus par le procureur, tant dans l'ordonnance pénale du 7 juin 2017 que dans celle du 21 septembre 2017. Quant au fait qu'en cas d'opposition aux ordonnances, leur issue aurait sans nul doute été différente, il s'agit là de simples conjectures, que le Tribunal n'a pas à prendre en considération. Il sied ainsi de retenir, d'une part, que le recourant a commis plusieurs infractions à la LStup et qu'en vendant de la cocaïne à des tiers, il a porté atteinte à un bien juridique particulièrement important, à savoir la santé. Or,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 et ATF 129 II 215 consid. 7.3) et ce, même si, comme en l'espèce, le cas grave au sens de l'art. 19 al. 2 let. a LStup n'est pas réalisé, puisque les quantités vendues sont inférieures à la limite de 18 g fixée à cet égard par la jurisprudence (cf. ATF 109 IV 143 consid. 3b p. 145 ; arrêt du Tribunal fédéral 6B_687/2016 du 12 juillet 2017 consid. 1.4.3). D'autre part, en tant que ressortissant du Soudan du Sud, il est soumis à l'obligation de visa (cf. sur cette problématique, le site internet du SEM: www.sem.admin.ch Entrée &amp; séjour Entrée Directives Visas VII. Visas Séjour jusqu'à 90 jours Annexes du Manuel des visas I et complément SEM Annexe 1, liste 1 : Prescriptions documents de voyage et de visas selon nationalité &gt; Soudan du Sud ; version du 17 août 2018; site internet consulté en février 2019). Or, lors de ses interpellations, l'intéressé ne remplissait pas cette condition. De plus, il fait l'objet d'une décision de renvoi en vertu des accords d'association à Dublin et, ensuite d'une première exécution de cette décision à destination de l'Espagne, il est revenu en Suisse, toujours sans remplir les conditions d'entrée et de séjour, commettant ainsi plusieurs infractions à la LEtr. Or,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5.4</w:t>
      </w:r>
    </w:p>
    <w:p>
      <w:r>
        <w:t>Au vu de ce qui précède, force est de constater que le recourant a porté atteinte à tout le moins à deux reprises à l'ordre public suisse tout comme il s'est soustrait à une première décision de renvoi. A cela s'ajoute qu'il a récidivé pendant le délai d'épreuve fixé à son encontre. Aussi, le Tribunal ne saurait suivre le recourant lorsqu'il prétend que les délits commis ne présenteraient dans tous les cas qu'une gravité négligeable. De plus, en s'acharnant à nier les faits et en banalisant son comportement, l'intéressé a fait preuve d'un manque évident d'introspection. L'interdiction d'entrée en Suisse prononcée à l'endroit de l'intéressé le 7 février 2018 en application de l'art. 67 LEtr s'avère donc justifiée dans son principe.</w:t>
      </w:r>
    </w:p>
    <w:p>
      <w:r>
        <w:rPr>
          <w:b/>
        </w:rPr>
        <w:t>E. 5.5</w:t>
      </w:r>
    </w:p>
    <w:p>
      <w:r>
        <w:t>Dans la mesure où l'autorité intimée a renoncé à prononcer une mesure d'éloignement d'une durée supérieure à cinq ans à l'endroit de l'intéressé, il ne s'avère pas nécessaire en l'occurrence d'examiner si ce dernier représente une menace qualifiée au sens de l'art. 67 al. 3 deuxième phrase LEtr pour l'ordre et la sécurité publics en Suisse.</w:t>
      </w:r>
    </w:p>
    <w:p>
      <w:r>
        <w:rPr>
          <w:b/>
        </w:rPr>
        <w:t>E. 6</w:t>
      </w:r>
    </w:p>
    <w:p>
      <w:r>
        <w:t>Il convient encore d'examiner si la mesure d'éloignement prise par l'autorité intimée satisfait aux principes de la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F-1388/2017 du 24 juillet 2018 consid. 5.1 et références citées).</w:t>
      </w:r>
    </w:p>
    <w:p>
      <w:r>
        <w:rPr>
          <w:b/>
        </w:rPr>
        <w:t>E. 6.2</w:t>
      </w:r>
    </w:p>
    <w:p>
      <w:r>
        <w:t>En l'espèce, s'agissant de l'intérêt public à l'éloignement du recourant de Suisse, le Tribunal observe que les motifs retenus à l'appui de la mesure d'éloignement prise à l'endroit de l'intéressé ne sauraient être contestés. Les infractions à la LEtr et à la LStup commises par le recourant doivent par ailleurs être qualifiées de graves. Compte tenu du nombre élevé de contraventions commises dans ces domaines, les autorités sont contraintes d'intervenir avec sévérité afin d'assurer la stricte application des prescriptions édictées en la matière. Il en va de l'intérêt de l'Etat à voir respecter l'ordre établi et la législation en vigueur (cf. arrêt du TAF F-3242/2016 du 9 août 2017 consid. 5.4 et les références citées).</w:t>
      </w:r>
    </w:p>
    <w:p>
      <w:r>
        <w:rPr>
          <w:b/>
        </w:rPr>
        <w:t>E. 6.3</w:t>
      </w:r>
    </w:p>
    <w:p>
      <w:r>
        <w:t>Il convient encore à ce sujet de rappeler que l'interdiction d'entrée en Suisse comprend également un but préventif et vise donc, dans le cas particulier, à éviter que le recourant ne porte une nouvelle fois atteinte à l'ordre et à la sécurité publics. En outre, une telle mesure d'éloignement sert à assurer l'efficacité de l'ordre juridique, qui revêt une signification importante dans le cadre de la législation régissant le séjour des étrangers en Suisse (cf. notamment arrêts du TAF F-7274/2015 du 16 août 2016 consid. 7.2 ; C-2896/2015 du 4 février 2016 consid. 7.2 et arrêt cité). Dans ce contexte, l'intérêt public à lutter contre les infractions à la LEtr (séjour illégal) et à la LStup revêt une importance non négligeable.</w:t>
      </w:r>
    </w:p>
    <w:p>
      <w:r>
        <w:rPr>
          <w:b/>
        </w:rPr>
        <w:t>E. 6.4</w:t>
      </w:r>
    </w:p>
    <w:p>
      <w:r>
        <w:t>S'agissant des intérêts privés du recourant, ce dernier s'est prévalu de la présence en Suisse de son amie, de nationalité suisse, et de leur enfant commune. Le Tribunal de céans relèvera tout d'abord que l'impossibilité pour le recourant de résider durablement en Suisse ne résulte pas de la mesure d'éloignement litigieuse, mais découle du fait qu'il n'est pas titulaire d'un titre de séjour dans ce pays. Il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avec B._______ et sa fille, de la paternité de laquelle il se prévaut, et résidant en Suisse. Il convient de rappeler ici que les relations familiales protégées par l'art. 8 par. 1 CEDH sont avant tout les rapports entre époux ainsi qu'entre parents et enfants mineurs vivant ensemble (cf. notamment ATF 137 I 113 consid. 6.1, et jurisprudence citée) et qu'un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ce qui n'est pas le cas en l'espèce. Cela étant, il s'impose de relever que, sous réserve de circonstances particulières, les fiançailles ou le concubinage ne permettent pas, selon la jurisprudence, d'invoquer le respect de la vie privée et familiale garanti par l'art. 8 CEDH pour s'opposer à un éventuel départ du pays et obtenir une autorisation de séjour (cf. arrêt du TF 2C_435/2014 du 13 février 2012 consid. 4.1 et jurisprudence citée). Or, en l'espèce, le Tribunal constate qu'aucun élément au dossier ne permet d'inférer que le recourant aurait l'intention de s'unir à B._______ ou encore qu'un mariage serait imminent. Au demeurant, même marié, cela ne signifierait pas encore que l'intéressé se verrait délivrer une autorisation de séjour. Dans ce contexte, il convient également de tenir compte du fait que la relation a débuté alors que le recourant ne disposait d'aucune autorisation de séjour en Suisse, de sorte que B._______ ne pouvait ignorer, lorsqu'elle a rencontré le recourant, que celui-ci avait été renvoyé de Suisse, qu'il séjournait illégalement et que son statut restait précaire. Elle a dès lors pris le risque de devoir vivre séparée de l'intéressé. S'agissant de l'enfant à laquelle B._______ a donné naissance en septembre 2018, le Tribunal relève tout d'abord qu'il n'existe au dossier aucun document officiel qui permettrait de retenir que le recourant en serait le père. A cela s'ajoute le fait que même si tel devait être le cas, il devrait encore apporter la preuve de l'existence de liens financiers particulièrement forts avec sa fille. Enfin, la personne qui entend se prévaloir de cette disposition légale doit avoir fait preuve en Suisse d'un comportement irréprochable (cf. ATF 139 I 135 consid. 2.2 et les arrêts cités), ce qui n'est manifestement pas le cas ici.</w:t>
      </w:r>
    </w:p>
    <w:p>
      <w:r>
        <w:rPr>
          <w:b/>
        </w:rPr>
        <w:t>E. 6.5</w:t>
      </w:r>
    </w:p>
    <w:p>
      <w:r>
        <w:t>En considération de ce qui précède, la relation que l'intéressé entretient avec B._______ et l'enfant de celle-ci ne saurait, en l'état, suffire pour s'opposer à la mesure d'éloignement prononcée à son encontre.</w:t>
      </w:r>
    </w:p>
    <w:p>
      <w:r>
        <w:rPr>
          <w:b/>
        </w:rPr>
        <w:t>E. 6.6</w:t>
      </w:r>
    </w:p>
    <w:p>
      <w:r>
        <w:t>Compte tenu de la nature des infractions, le Tribunal arrive à la conclusion que la mesure d'éloignement prise par l'autorité inférieure le 7 février 2018 est nécessaire et adéquate afin de prévenir toute nouvelle atteinte à la sécurité et à l'ordre publics en Suisse. Par ailleurs, la durée de la mesure respecte le principe de proportionnalité et correspond à celle prononcée dans des cas analogues. Enfin, le Tribunal constate qu'il n'existe pas de raisons humanitaires ou d'autres motifs importants justifiant l'abstention ou la suspension de la mesure d'éloignement au sens de l'art. 67 al. 5 LEtr.</w:t>
      </w:r>
    </w:p>
    <w:p>
      <w:r>
        <w:rPr>
          <w:b/>
        </w:rPr>
        <w:t>E. 7</w:t>
      </w:r>
    </w:p>
    <w:p>
      <w:r>
        <w:t>Dans le cas d'espèce, un signalement au SIS est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w:t>
      </w:r>
    </w:p>
    <w:p>
      <w:r>
        <w:rPr>
          <w:b/>
        </w:rPr>
        <w:t>E. 8</w:t>
      </w:r>
    </w:p>
    <w:p>
      <w:r>
        <w:t>En conséquence, le Tribunal est amené à conclure que la décision querellée n'est ni contraire au droit ni inopportune (cf. art. 49 PA). Partant, le recours doit être rejeté. Vu l'issue de la cause, les frais de la procédure doivent être mis à la charge du recourant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