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F-1055/2016 vom 14. November 2017</w:t>
      </w:r>
    </w:p>
    <w:p>
      <w:r>
        <w:t>Bundesverwaltungsgericht, 2017-11-14, DE</w:t>
      </w:r>
    </w:p>
    <w:p>
      <w:r>
        <w:rPr>
          <w:b/>
        </w:rPr>
        <w:t xml:space="preserve">Quelle: </w:t>
      </w:r>
      <w:r>
        <w:t>https://mcp.opencaselaw.ch/entscheid/bvger_F-1055_2016</w:t>
      </w:r>
    </w:p>
    <w:p>
      <w:r>
        <w:t>FR: TAF F-1055/2016 du 14 novembre 2017</w:t>
      </w:r>
    </w:p>
    <w:p>
      <w:r>
        <w:t>IT: TAF F-1055/2016 del 14 novembre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war am Einspracheverfahren beteiligt, ist als Gastgeber durch die angefochten Verfügung besonders berührt und hat ein schutzwürdiges Interesse an deren Aufhebung. Die Voraussetzungen der Beschwerdelegitimation gemäss Art. 48 Abs. 1 Bst. a - c VwVG sind damit erfüllt.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der Dominikanischen Republik.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der Dominikanischen Republik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 vgl. auch Art. 21 und Art. 32 der Verordnung [EG] Nr. 810/2009 des Europäischen Parlaments und des Rates vom 13. Juli 2009 über einen Visakodex der Gemeinschaft [Visakodex]).</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Die schweizerische Vertretung hat der Gesuchstellerin das beantragte Schengen-Visum verweigert, weil sie den Zweck und die Umstände des beabsichtigten Aufenthalts bezweifelte und aufgrund dessen auch deren fristgerechte Wiederausreise in Frage stellte. Hierzu merkte sie an, dass ein im Jahr 2013 gestelltes Gesuch, welches dem Besuch der in der Schweiz lebenden Mutter gegolten habe, wegen ungenügender finanzieller Mittel abgelehnt worden sei. Beim jetzigen Gesuch gebe es bezüglich der Finanzierung insoweit Widersprüche, als sich laut Einladungsbrief der Gastgeber und seine Freundin zur Übernahme der Kosten bereit erklärt hätten, die Gesuchstellerin selbst jedoch ihre Mutter (recte: Tante; dazu unten E. 6. 1) und Grossmutter als Trägerinnen der Reisekosten bezeichnet habe. Es könne nicht ausgeschlossen werden, dass die Einladung Vorwand für eine Familienzusammenführung sei (zu Vorstehendem: Vorakten S. 33). Vor diesem Hintergrund ist auch die Vorinstanz in ihrer Verfügung zum Schluss gekommen, Zweck und Bedingungen des beabsichtigten Besuchsaufenthalts seien nicht nachgewiesen worden. Die Begründung ihres ablehnenden Entscheids hat sie infolgedessen auf Art. 32 Abs. 1 Bst. a (ii) Visakodex und Art. 12 Abs. 2 Bst. g VEV abgestützt.</w:t>
      </w:r>
    </w:p>
    <w:p>
      <w:r>
        <w:rPr>
          <w:b/>
        </w:rPr>
        <w:t>E. 6</w:t>
      </w:r>
    </w:p>
    <w:p>
      <w:r>
        <w:t>Der Beschwerdeführer äussert in erster Linie sein Unverständnis darüber, dass der Gesuchstellerin nicht die Möglichkeit geboten wird, zu einem Familienbesuch in die Schweiz einzureisen. Seine appellatorische Kritik geht allerdings nicht auf die von der Vorinstanz aufgezeigten Ungereimtheiten des geplanten Besuchsaufenthalts ein.</w:t>
      </w:r>
    </w:p>
    <w:p>
      <w:r>
        <w:rPr>
          <w:b/>
        </w:rPr>
        <w:t>E. 6.1</w:t>
      </w:r>
    </w:p>
    <w:p>
      <w:r>
        <w:t>Diese Ungereimtheiten ergeben sich daraus, dass die Gesuchstellerin in ihrem Visumsgesuch den ihr persönlich unbekannten A._______ als Gastgeber bezeichnete und in der dazugehörigen Befragung angab, ihre Reisekosten würden von ihrer Grossmutter und - da ihre in der Schweiz lebende Mutter nicht arbeite - von ihrer berufstätigen Tante getragen (vgl. Vorakten S. 22 und S. 37). Die Bereitschaft der Tante zur finanziellen Unterstützung hat der Beschwerdeführer zwar bestätigt, gleichzeitig aber auch eingeräumt, dass diese angesichts der früheren erfolglosen Einladung durch die Kindesmutter nicht selbst als offizielle Gastgeberin und Garantin habe auftreten wollen.</w:t>
      </w:r>
    </w:p>
    <w:p>
      <w:r>
        <w:rPr>
          <w:b/>
        </w:rPr>
        <w:t>E. 6.2</w:t>
      </w:r>
    </w:p>
    <w:p>
      <w:r>
        <w:t>Aus der geschilderten Konstellation wird deutlich, dass der Beschwerdeführer kein besonderes eigenes Interesse an einem Besuch der Gesuchstellerin hat, sondern deren Einladung nur gefälligkeitshalber übernahm. Dass deren Tante bewusst auf eine eigene Einladung verzichtete, lässt vermuten, dass sie ihre verwandtschaftliche Nähe zur Kindesmutter und damit auch den tatsächlichen Aufenthaltszweck der Gesuchstellerin - nämlich den naheliegenden Besuch bei der Mutter - verschweigen wollte. Zu dieser Vermutung, welche die Vorinstanz auch in ihrer Vernehmlassung vom 6. Mai 2016 nochmals bekräftigt hat, hat sich der Beschwerdeführer nicht geäussert. Seine insoweit fehlenden Erklärungen lassen es unglaubhaft erscheinen, dass der von der Gesuchstellerin geplante Besuch tatsächlich nur ihm und seiner Freundin gelten soll. Der Umstand, dass im vorliegenden Verfahren der eigentliche Zweck des Aufenthalts nicht offengelegt wird, spricht nicht nur für die Wahrscheinlichkeit eines beabsichtigten Besuchs bei der Mutter, sondern rechtfertigt auch die Annahme, dass damit womöglich der Familiennachzug der Gesuchstellerin erzwungen werden soll.</w:t>
      </w:r>
    </w:p>
    <w:p>
      <w:r>
        <w:rPr>
          <w:b/>
        </w:rPr>
        <w:t>E. 7</w:t>
      </w:r>
    </w:p>
    <w:p>
      <w:r>
        <w:t>Die bestehenden Unklarheiten im Hinblick auf den Aufenthaltszweck führen dazu, dass auch die fristgerechte und anstandslose Wiederausreise der Gesuchstellerein als nicht gewährleistet zu betrachten ist. Zweifel bezüglich der Wiederausreise ergeben sich auch angesichts der Situation im Herkunftsland der Gesuchstellerin. Bei einer Armutsquote von mehr als 35 Prozent, einhergehend mit einem tiefen Bildungsniveau, ist die Einkommensverteilung in der Dominikanischen Republik sehr ungleich. In den letzten Jahren wurden zwar erhebliche Anstrengungen für eine umfassende Alphabetisierungs-Kampagne und für den Ausbau des primären und sekundären Bildungssystem unternommen; die Finanzierung des laufenden Schulbetriebs sowie die Investitionen in die Lehrerausbildung sind jedoch noch immer unzureichend. Infolgedessen wird davon ausgegangen, dass die bisherige jahrzehntelange Vernachlässigung des gesamten Bildungsbereichs bis auf Weiteres eines der grössten Entwicklungshindernisse des Landes bleiben wird. Bei der erstmaligen Teilnahme am PISA-Verfahren im Jahr 2016 belegte die Dominikanische Republik den letzten Platz (Quellen: www.auswaertiges-amt.de &gt; Aussen- und Europapolitik &gt; Länderinformationen &gt; Dominikanische Republik &gt; Wirtschaft /Kultur und Bildung, jeweiliger Stand: September 2017). Die aufgezeigte Situation im Bildungsbereich betrifft auch die Gesuchstellerin, welche im Zeitpunkt ihres Visumsantrags 13 Jahre alt war und zur Schule ging (vgl. Vorakten S. 23). Die strenge Visumspraxis, welche bei Herkunftsländern mit politisch oder wirtschaftlich ungünstigen Verhältnissen angewandt wird (vgl. BVGE 2014/1 E. 6.1 m.H.), erlaubt daher auch in ihrem Fall keine Ausnahme. Zu keiner anderen Einschätzung führt die aus den Akten ersichtliche persönliche Situation der Gesuchstellerin.</w:t>
      </w:r>
    </w:p>
    <w:p>
      <w:r>
        <w:rPr>
          <w:b/>
        </w:rPr>
        <w:t>E. 8</w:t>
      </w:r>
    </w:p>
    <w:p>
      <w:r>
        <w:t>Vor dem Hintergrund des unklaren Aufenthaltszwecks und der berechtigten Zweifel an einer anstandslosen und fristgerechten Wiederausreise der Gesuchstellerin braucht nicht mehr darauf eingegangen werden, ob die finanziellen Voraussetzungen für den beabsichtigten Besuchsaufenthalt gegeben sind.</w:t>
      </w:r>
    </w:p>
    <w:p>
      <w:r>
        <w:rPr>
          <w:b/>
        </w:rPr>
        <w:t>E. 9</w:t>
      </w:r>
    </w:p>
    <w:p>
      <w:r>
        <w:t>Nach alledem sind die Voraussetzungen für die Erteilung eines sogenannten einheitlichen Visums - gültig für den gesamten Schengen-Raum - nicht erfüllt (vgl. E. 4.1). Angesichts der bestehenden Zweifel am Aufenthaltszweck rechtfertigt sich auch nicht die Ausstellung eines humanitären Visums mit räumlich beschränkter Gültigkeit.</w:t>
      </w:r>
    </w:p>
    <w:p>
      <w:r>
        <w:rPr>
          <w:b/>
        </w:rPr>
        <w:t>E. 10</w:t>
      </w:r>
    </w:p>
    <w:p>
      <w:r>
        <w:t>Folglich ist der angefochtene Einspracheentscheid als rechtmässig zu bestätigen (vgl. Art. 49 VwVG) und die Beschwerde abzuweisen.</w:t>
      </w:r>
    </w:p>
    <w:p>
      <w:r>
        <w:rPr>
          <w:b/>
        </w:rPr>
        <w:t>E. 11</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