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F-1049/2021 vom 29. August 2022</w:t>
      </w:r>
    </w:p>
    <w:p>
      <w:r>
        <w:t>Bundesverwaltungsgericht, 2022-08-29, FR</w:t>
      </w:r>
    </w:p>
    <w:p>
      <w:r>
        <w:rPr>
          <w:b/>
        </w:rPr>
        <w:t xml:space="preserve">Quelle: </w:t>
      </w:r>
      <w:r>
        <w:t>https://mcp.opencaselaw.ch/entscheid/bvger_F-1049_2021</w:t>
      </w:r>
    </w:p>
    <w:p>
      <w:r>
        <w:t>FR: TAF F-1049/2021 du 29 août 2022</w:t>
      </w:r>
    </w:p>
    <w:p>
      <w:r>
        <w:t>IT: TAF F-1049/2021 del 29 agosto 2022</w:t>
      </w:r>
    </w:p>
    <w:p>
      <w:pPr>
        <w:pStyle w:val="Heading2"/>
      </w:pPr>
      <w:r>
        <w:t>Regeste</w:t>
      </w:r>
    </w:p>
    <w:p>
      <w:r>
        <w:t>Assistance administrative</w:t>
      </w:r>
    </w:p>
    <w:p>
      <w:pPr>
        <w:pStyle w:val="Heading2"/>
      </w:pPr>
      <w:r>
        <w:t>Erwägungen</w:t>
      </w:r>
    </w:p>
    <w:p>
      <w:r>
        <w:rPr>
          <w:b/>
        </w:rPr>
        <w:t>E. 5</w:t>
      </w:r>
    </w:p>
    <w:p>
      <w:r>
        <w:t>Pour ce qui est des conditions de fond, la recourante soutient que les informations la concernant ne rempliraient pas la condition de la pertinence vraisemblable (cf. infra consid. 5.1), que la demande d'assistance est basée sur des données volées (cf. infra consid. 5.2) et qu'elle ne fait l'objet d'aucun contrôle fiscal en France (cf. infra consid. 5.3).</w:t>
      </w:r>
    </w:p>
    <w:p>
      <w:r>
        <w:rPr>
          <w:b/>
        </w:rPr>
        <w:t>E. 5.1.1</w:t>
      </w:r>
    </w:p>
    <w:p>
      <w:r>
        <w:t>S'agissant du grief lié à la condition de la pertinence vraisemblable, la recourante soutient que les informations la concernant n'y satisferaient pas dès lors qu'elle n'a pas été fiscalement domicilié en France durant la période visée, mais en Z._______. Elle avance, en substance, que l'examen de cette question ne doit pas seulement être faite par les autorités françaises, mais également par l'AFC en tant qu'elle fait partie des conditions de validité de la demande d'assistance administrative fiscale.</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w:t>
      </w:r>
    </w:p>
    <w:p>
      <w:r>
        <w:rPr>
          <w:b/>
        </w:rPr>
        <w:t>E. 5.1.3</w:t>
      </w:r>
    </w:p>
    <w:p>
      <w:r>
        <w:t>En revanche, la question n'a pas été spécifiquement examinée, dans l'arrêt du Tribunal fédéral, de savoir si, compte tenu des éléments concernant l'absence de domicile en France tels qu'invoqués ici par la recourante,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2.9). 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la recourante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la recourante fait valoir avoir été domiciliée fiscalement durant la période sous contrôle n'a pas à être examinée par la Cour de céans.</w:t>
      </w:r>
    </w:p>
    <w:p>
      <w:r>
        <w:rPr>
          <w:b/>
        </w:rPr>
        <w:t>E. 5.2.1</w:t>
      </w:r>
    </w:p>
    <w:p>
      <w:r>
        <w:t>Dans les griefs de son mémoire de recours, l'intéressée reproche notamment à l'autorité inférieure d'accéder à une demande d'assistance basée sur des données volées, en violation du principe de la bonne foi et de l'art. 7 let. c LAAF. Plus précisément, l'intéressée avance que les circonstances de la présente cause permettent de soupçonner sérieusement que les listes obtenues de la part des autorités fiscales allemandes ont été obtenues de manière illégale, respectivement d'une manière punissable en droit suisse. Selon la recourante, « il est de notoriété publique que les autorités fiscales allemandes, en particulier celles du Land de Rhénanie-du-Nord-Westphalie, ont régulièrement procédé à l'achat de données bancaires volées à des banques suisses dans le cadre de la lutte contre la fraude fiscale » (mémoire de recours, par. 11 p. 8). Toujours selon l'intéressée, l'autorité intimée n'a apporté aucun élément permettant d'écarter l'hypothèse que ces listes aient été volées à B._______ et ensuite vendues aux autorités du Land de Rhénanie du Nord-Westphalie, comme cela avait régulièrement été le cas au cours des dernières années. La recourante ajoute qu'il existe des indices concrets que l'autorité requérante se fonde sur des renseignements obtenus par des actes punissables au regard du droit suisse et que ces indices viennent renverser la présomption de bonne foi de l'autorité requérante. Elle relève à ce titre que l'on n'a jamais su quelle était la véritable origine des listes de numéros de comptes dont se prévaut l'autorité requérante et qu'un « flou » règne autour de la genèse de cette affaire. Dès lors que cette question juridique n'a pas été traitée dans l'ATF 146 II 150, il convient de l'examiner plus en détail dans la présente cause.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B._______ en mai 2012 et juillet 2013 ont abouti à la saisie de données concernant des contribuables français liés à des comptes ouverts auprès de la banque B._______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B._______ Deutschland à Francfort. Le serveur de sauvegarde comprenait des sauvegardes des ordinateurs des employés de B._______ Deutschland,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B._______ dans le cadre de cette enquête, le Land allemand de Rhénanie du Nord-Westphalie aurait acheté en août 2012 un CD de données contenant les informations sur des clients enregistrés auprès de la banque B._______ en Suisse. Sur la base de ce CD de données, les autorités allemandes auraient mené des enquêtes contre de nombreux clients allemands de la banque B._______. C'est dans le cadre de ces enquêtes que le parquet de Bochum aurait procédé à diverses perquisitions au siège de B._______ Deutschland à Francfort et auprès d'autres sites de B._______ en Allemagne. Lors de la perquisition au siège de la banque B._______ Deutschland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2 juillet 2013 qui a été fourni par la banque B._______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la recourante.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la recourante,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C._______ par D._______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D._______ ne saurait s'étendre aux données B._______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D._______ est transposable dans le cadre de la présente demande, de sorte que le cas d'espèce se distingue de celui jugé par le Tribunal fédéral dans l'ATF 143 II 224, dans lequel il a été considéré que l'Etat français avait violé le principe de la bonne foi en lien avec « l'affaire D._______ ». On ne voit pas qu'il existe par ailleurs un autre engagement pris par l'Etat français dans ce sens et le recourant ne le soutient à juste titre pas.</w:t>
      </w:r>
    </w:p>
    <w:p>
      <w:r>
        <w:rPr>
          <w:b/>
        </w:rPr>
        <w:t>E. 5.2.3.2</w:t>
      </w:r>
    </w:p>
    <w:p>
      <w:r>
        <w:t>Quant à l'existence d'un lien de causalité entre les données prétendument volées et la demande d'assistance administrative dont se prévaut le recourant,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B._______,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supra consid. A.b).</w:t>
      </w:r>
    </w:p>
    <w:p>
      <w:r>
        <w:rPr>
          <w:b/>
        </w:rPr>
        <w:t>E. 5.2.4</w:t>
      </w:r>
    </w:p>
    <w:p>
      <w:r>
        <w:t>Partant, le grief tiré de la violation du principe de la bonne foi en lien avec l'utilisation de données volées doit être rejeté.</w:t>
      </w:r>
    </w:p>
    <w:p>
      <w:r>
        <w:rPr>
          <w:b/>
        </w:rPr>
        <w:t>E. 5.3.1</w:t>
      </w:r>
    </w:p>
    <w:p>
      <w:r>
        <w:t>Enfin, la recourante fait également valoir qu'elle ne fait l'objet d'aucun contrôle fiscal, ni d'aucune enquête en cours en France, de sorte que la demande d'assistance doit être refusée.</w:t>
      </w:r>
    </w:p>
    <w:p>
      <w:r>
        <w:rPr>
          <w:b/>
        </w:rPr>
        <w:t>E. 5.3.2</w:t>
      </w:r>
    </w:p>
    <w:p>
      <w:r>
        <w:t>Il ressort toutefois de la demande d'assistance administrative déposée par la France le 11 mai 2016 que les autorités fiscales françaises ont procédé à des travaux de contrôle fiscaux sur la base des informations transmises par l'administration fiscale allemande (cf., pour les détails, supra consid. A.b. ; Décision finale de l'AFC, let. A). Ainsi, bien que ces travaux de contrôle fiscaux n'aient pas été dirigés contre des personnes déterminées (ceux-ci visant justement à identifier les détenteurs des comptes bancaires anonymes), il y a lieu de conclure que l'intéressé a bel et bien fait l'objet d'une enquête en France en tant que détenteur de l'un des comptes anonymes des listes B et C et concernés par la requête d'assistance (cf. dossier AFC, pces 2, 46 et 47). On rappellera, en outre, que le Tribunal fédéral a traité en détail la question de savoir si la demande d'assistance de la France contenait suffisamment d'éléments pour supposer que les contribuables concernés n'avaient pas rempli leurs obligations fiscales (cf. ATF 146 II 150 consid. 6.2.5 et 6.2.6). Il a considéré, en substance, que la demande d'assistance fournissait suffisamment d'éléments concrets permettant de soupçonner que les personnes concernées, identifiables au travers des listes B et C, avaient agi en violation du droit fiscal (cf. ATF 146 II 150 consid. 6.2.6).</w:t>
      </w:r>
    </w:p>
    <w:p>
      <w:r>
        <w:rPr>
          <w:b/>
        </w:rPr>
        <w:t>E. 5.3.3</w:t>
      </w:r>
    </w:p>
    <w:p>
      <w:r>
        <w:t>Sur la base de ce qui précède, il y a lieu de conclure que la demande d'assistance dirigée contre l'intéressée, en tant que détentrice d'un compte bancaire visé par la demande d'assistance, est justifiée. Le grief de l'intéressée est, par conséquent, écarté.</w:t>
      </w:r>
    </w:p>
    <w:p>
      <w:r>
        <w:rPr>
          <w:b/>
        </w:rPr>
        <w:t>E. 6</w:t>
      </w:r>
    </w:p>
    <w:p>
      <w:r>
        <w:t>S'agissant de la conclusion formulée par l'intéressée concernant l'anonymisation du présent arrêt, la Cour de céans se réfère à l'art. 29 al. 2 LTAF, aux termes duquel les arrêts rendus par le TAF sont, en principe, publiés sous une forme anonyme. Conformément à ce principe, il sera donc procédé à l'anonymisation du présent arrêt avant sa publication.</w:t>
      </w:r>
    </w:p>
    <w:p>
      <w:r>
        <w:rPr>
          <w:b/>
        </w:rPr>
        <w:t>E. 7.1</w:t>
      </w:r>
    </w:p>
    <w:p>
      <w:r>
        <w:t>Vu les considérants qui précèdent, le recours est rejeté. La recourante,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