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F-1043/2021 vom 25. September 2023</w:t>
      </w:r>
    </w:p>
    <w:p>
      <w:r>
        <w:t>Bundesverwaltungsgericht, 2023-09-25, FR</w:t>
      </w:r>
    </w:p>
    <w:p>
      <w:r>
        <w:rPr>
          <w:b/>
        </w:rPr>
        <w:t xml:space="preserve">Quelle: </w:t>
      </w:r>
      <w:r>
        <w:t>https://mcp.opencaselaw.ch/entscheid/bvger_F-1043_2021</w:t>
      </w:r>
    </w:p>
    <w:p>
      <w:r>
        <w:t>FR: TAF F-1043/2021 du 25 septembre 2023</w:t>
      </w:r>
    </w:p>
    <w:p>
      <w:r>
        <w:t>IT: TAF F-1043/2021 del 25 settembre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au sens de l'art. 33 let. d LTAF - peuvent être contestées devant le Tribunal, qui statue définitivement (art. 1 al. 2 LTAF en relation avec l'art. 83 let. c ch.1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Il s'agit tout d'abord de définir l'objet du litige au vu des conclusions et de la motivation du recours.</w:t>
      </w:r>
    </w:p>
    <w:p>
      <w:r>
        <w:rPr>
          <w:b/>
        </w:rPr>
        <w:t>E. 3.1</w:t>
      </w:r>
    </w:p>
    <w:p>
      <w:r>
        <w:t>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L'objet du litige peut donc être réduit par rapport à l'objet de la contestation. Il ne peut en revanche, sauf exceptions non pertinentes en l'espèce, s'étendre au-delà de celui-ci (cf. ATF 144 II 359 consid. 4.3 et réf. cit.).</w:t>
      </w:r>
    </w:p>
    <w:p>
      <w:r>
        <w:rPr>
          <w:b/>
        </w:rPr>
        <w:t>E. 3.2</w:t>
      </w:r>
    </w:p>
    <w:p>
      <w:r>
        <w:t>Concrètement, la décision attaquée consiste en une interdiction d'entrée pour la Suisse et le Liechtenstein et en une inscription dans le SIS II. De ces deux points du dispositif, le recourant ne conteste que le signalement d'interdiction d'entrée dans le SIS II, comme cela ressort sans équivoque du contenu du recours. Cela étant, compte tenu du rapport accessoire entre l'interdiction d'entrée et le signalement au SIS II, la pratique du Tribunal consiste à procéder, à titre préjudiciel, à l'analyse de la légalité de l'interdiction d'entrée (cf. infra consid. 6 et 7 ; en ce sens, également, arrêts du TAF F-3163/2021 du 25 octobre 2021 consid. 4 et F-935/2022 du 19 septembre 2022 consid. 3), avant d'examiner si la publication de celle-ci dans le SIS II, seul objet du litige, est justifiée (cf. infra consid. 8 ; ATAF 2019 VII/2 consid. 4.3).</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4.1.1</w:t>
      </w:r>
    </w:p>
    <w:p>
      <w:r>
        <w:t>Comme précisé dans sa jurisprudence (cf., notamment, arrêt du TAF F-2913/2018 du 12 décembre 2019 consid. 2.2 et réf. cit),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4.1.2</w:t>
      </w:r>
    </w:p>
    <w:p>
      <w:r>
        <w:t>En l'occurrence, la décision querellée a été prononcée avant l'entrée en vigueur du nouveau droit au 1er janvier 2019. Pour ce qui a trait à l'ancien art. 80 OASA, qui définit les notions d'atteinte à la sécurité et à l'ordre publics, il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[ci-après : Message LEtr).</w:t>
      </w:r>
    </w:p>
    <w:p>
      <w:r>
        <w:rPr>
          <w:b/>
        </w:rPr>
        <w:t>E. 4.1.3</w:t>
      </w:r>
    </w:p>
    <w:p>
      <w:r>
        <w:t>En l'absence d'un intérêt public prépondérant à ce que le nouveau droit s'applique immédiatement, le Tribunal appliquera, dès lors, l'ancien droit. Par souci de clarté, il continuera donc à utiliser l'ancienne dénomination « LEtr ». Il en va de même en rapport avec l'OASA, cette ordonnance étant citée selon sa teneur valable jusqu'au 31 décembre 2018.</w:t>
      </w:r>
    </w:p>
    <w:p>
      <w:r>
        <w:rPr>
          <w:b/>
        </w:rPr>
        <w:t>E. 4.2</w:t>
      </w:r>
    </w:p>
    <w:p>
      <w:r>
        <w:t>En outre, force est de relever que le règlement du Système d'information Schengen a été révisé le 6 mars 2023.</w:t>
      </w:r>
    </w:p>
    <w:p>
      <w:r>
        <w:rPr>
          <w:b/>
        </w:rPr>
        <w:t>E. 4.2.1</w:t>
      </w:r>
    </w:p>
    <w:p>
      <w:r>
        <w:t>En effet, le règlement [CE] 1987/2006 du Parlement européen et du Conseil du 20 décembre 2006 sur l'établissement, le fonctionnement et l'utilisation du système d'information Schengen de deuxième génération [SIS II, JO L 381/4 du 28 décembre 2006] a été abrogé le 6 mars 2023. En lieu et place, trois règlements de l'Union européenne ont été adoptés pour le développement du SIS, dont notamment le règlement [UE] n° 2018/1861 du Parlement européen et du Conseil du 28 novembre 2018 sur l'établissement, le fonctionnement et l'utilisation du système d'information Schengen dans le domaine des vérifications aux frontières, modifiant la Convention d'application de l'accord de Schengen et modifiant et abrogeant le règlement [CE] n° 1987/2006, JO L 312 du 7 décembre 2018, valable depuis le 7 mars 2023 [JO L 27 du 31.1.2023]).</w:t>
      </w:r>
    </w:p>
    <w:p>
      <w:r>
        <w:rPr>
          <w:b/>
        </w:rPr>
        <w:t>E. 4.2.2</w:t>
      </w:r>
    </w:p>
    <w:p>
      <w:r>
        <w:t>En l'espèce, l'inscription au Système d'information Schengen a été faite le 25 avril 2018, soit avant l'entrée en vigueur du nouveau règlement et la mise en service du nouveau SIS (cf. art. 66 al. 2 du règlement [UE] n° 2018/1861 précité). Il convient par conséquent d'appliquer l'ancien droit. Au demeurant, le Tribunal relève que la plupart des articles applicables dans la présente procédure n'ont pas subi entre temps de modification conséquente, si ce n'est quant à leur place dans le règlement (cf. tableau de correspondance en annexe du règlement précité).</w:t>
      </w:r>
    </w:p>
    <w:p>
      <w:r>
        <w:rPr>
          <w:b/>
        </w:rPr>
        <w:t>E. 4.2.3</w:t>
      </w:r>
    </w:p>
    <w:p>
      <w:r>
        <w:t>Cela étant, le Tribunal continuera, par souci de clarté, à utiliser l'ancienne dénomination « règlement SIS II ».</w:t>
      </w:r>
    </w:p>
    <w:p>
      <w:r>
        <w:rPr>
          <w:b/>
        </w:rPr>
        <w:t>E. 5</w:t>
      </w:r>
    </w:p>
    <w:p>
      <w:r>
        <w:t>Dans un premier temps, il convient, à titre préjudiciel, de procéder à l'analyse de la légalité de l'interdiction d'entrée prononcée à l'égard du recourant (cf. supra consid. 3.2).</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LEtr FF 2002 3568 ; voir également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w:t>
      </w:r>
    </w:p>
    <w:p>
      <w:r>
        <w:rPr>
          <w:b/>
        </w:rPr>
        <w:t>E. 5.3</w:t>
      </w:r>
    </w:p>
    <w:p>
      <w:r>
        <w:t>Concernant plus spécifiquement les notions de sécurité et d'ordre publics mentionnées à l'art. 67 al. 2 let. a LEtr, qui sont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5.4</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w:t>
      </w:r>
    </w:p>
    <w:p>
      <w:r>
        <w:rPr>
          <w:b/>
        </w:rPr>
        <w:t>E. 6.1</w:t>
      </w:r>
    </w:p>
    <w:p>
      <w:r>
        <w:t>Cela étant, il convient d'examiner si le prononcé d'une interdiction d'entrée à l'endroit du recourant est justifié dans son principe.</w:t>
      </w:r>
    </w:p>
    <w:p>
      <w:r>
        <w:rPr>
          <w:b/>
        </w:rPr>
        <w:t>E. 6.2</w:t>
      </w:r>
    </w:p>
    <w:p>
      <w:r>
        <w:t>Par arrêt du 1er septembre 2016, le Tribunal correctionnel de Lausanne a condamné le recourant à une peine privative de liberté de trois ans pour utilisation frauduleuse d'un ordinateur, utilisation frauduleuse d'un ordinateur par métier, faux dans les certificats et entrée illégale. Il est reproché à ce dernier d'avoir, entre le 27 décembre 2008 et fin avril 2009, procédé à 74 retraits d'argent frauduleux au moyen de bancomats de huit agences de la banque (...) pour un montant total de 180'580 francs et 11'800 euros. En raison de cette seule condamnation pénale, il y a déjà lieu de retenir que le recourant a violé de manière très importante des prescriptions légales ayant été édictées dans le but de maintenir la sécurité et l'ordre publics et réalise dès lors les conditions d'application de l'art. 67 al. 2 let. a LEtr.</w:t>
      </w:r>
    </w:p>
    <w:p>
      <w:r>
        <w:rPr>
          <w:b/>
        </w:rPr>
        <w:t>E. 6.3</w:t>
      </w:r>
    </w:p>
    <w:p>
      <w:r>
        <w:t>Il appert également du dossier qu'avant cette condamnation, le recourant avait déjà été condamné de manière réitérée en Suisse. Le 24 septembre 2001, le Tribunal de police du canton de Vaud a condamné l'intéressé, pour des faits commis entre 1999 et 2000, à quatre mois d'emprisonnement, sous déduction de dix-huit jours de détention préventive pour vol, utilisation frauduleuse d'un ordinateur et faux témoignages. Le Tribunal de police a également prononcé son expulsion pour une durée de trois ans avec sursis pendant trois ans. En outre, par jugement du 13 février 2002, la Cour de cassation pénale du Tribunal cantonal vaudois a condamné le recourant à quatre mois d'emprisonnement, sous déduction de dix-huit jours de détention préventive, pour vol, utilisation frauduleuse d'un ordinateur et faux témoignages. Par la suite, le 14 janvier 2005, le Tribunal correctionnel de Lausanne a prononcé à l'encontre de ce dernier une peine de quatre mois d'emprisonnement - peine entièrement complémentaire à celle prononcée en 2002 par la Cour de cassation pénale du Tribunal cantonal vaudois pour vol, tentative d'escroquerie et infraction à l'ancienne loi sur le séjour et l'établissement des étrangers (LSEE). Par ailleurs, entre ces condamnations pénales des 13 février 2002 et 14 janvier 2005, le SEM avait, en 2003 déjà, prononcé une interdiction d'entrée de dix ans à l'égard du recourant.</w:t>
      </w:r>
    </w:p>
    <w:p>
      <w:r>
        <w:rPr>
          <w:b/>
        </w:rPr>
        <w:t>E. 6.4</w:t>
      </w:r>
    </w:p>
    <w:p>
      <w:r>
        <w:t>A ce stade, il s'impose donc de retenir que l'intéressé, par son comportement délictueux en Suisse, a indiscutablement attenté à la sécurité et à l'ordre publics, de sorte qu'il remplit les conditions d'application de l'art. 67 al. 2 let. a LEtr. La mesure d'interdiction d'entrée est donc justifiée dans son principe.</w:t>
      </w:r>
    </w:p>
    <w:p>
      <w:r>
        <w:rPr>
          <w:b/>
        </w:rPr>
        <w:t>E. 7.1</w:t>
      </w:r>
    </w:p>
    <w:p>
      <w:r>
        <w:t>Il convient ensuite de déterminer, à titre préjudiciel, si la menace que l'intéressé représente pour la sécurité et l'ordre publics en Suisse doit être qualifiée de grave et si elle est ainsi susceptible de justifier le prononcé d'une mesure d'éloignement allant au-delà de la durée maximale de cinq ans prévue à l'art. 67 al. 3 1ère phrase LEtr.</w:t>
      </w:r>
    </w:p>
    <w:p>
      <w:r>
        <w:rPr>
          <w:b/>
        </w:rPr>
        <w:t>E. 7.1.1</w:t>
      </w:r>
    </w:p>
    <w:p>
      <w:r>
        <w:t>Selon la jurisprudence développée sous l'ancien droit,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(cf. ATF 139 II 121 consid. 6.3, et réf. cit.). Les infractions commises doivent donc avoir le potentiel isolément ou en raison de leur répétition de générer une menace actuelle et grave pour la sécurité et l'ordre publics (cf. ATAF 2014/20 consid. 5.2, 2013/4 consid. 7.2.4, et réf. cit).</w:t>
      </w:r>
    </w:p>
    <w:p>
      <w:r>
        <w:rPr>
          <w:b/>
        </w:rPr>
        <w:t>E. 7.1.2</w:t>
      </w:r>
    </w:p>
    <w:p>
      <w:r>
        <w:t>Dans le cas particulier, compte tenu de l'activité délictuelle du recourant et du caractère récidivant des infractions qu'il a commises durant sa présence sur le territoire suisse (cf. consid. 6.2 supra), le Tribunal est amené à conclure que le palier II, qui présuppose une menace caractérisée, est atteint, de sorte que la limite de la durée maximale prévue à l'art. 67 al. 3 1ère phrase LEtr peut être franchie. A l'instar de l'autorité inférieure, il sied de considérer que l'utilisation frauduleuse d'un ordinateur, sous cette forme aggravée et dans cette mesure utilisation frauduleuse d'un ordinateur par métier - tendant à dérober, de manière répétée, de l'argent à l'aide de bancomats pour une somme totale très importante, constitue une menace suffisamment grave susceptible de peser sur les intérêts fondamentaux de la communauté.</w:t>
      </w:r>
    </w:p>
    <w:p>
      <w:r>
        <w:rPr>
          <w:b/>
        </w:rPr>
        <w:t>E. 7.2</w:t>
      </w:r>
    </w:p>
    <w:p>
      <w:r>
        <w:t>Il convient encore d'examiner si la durée de la mesure d'éloignement prise par l'autorité inférieure en l'occurrence huit ans satisfait aux principes de la proportionnalité et de l'égalité de traitement.</w:t>
      </w:r>
    </w:p>
    <w:p>
      <w:r>
        <w:rPr>
          <w:b/>
        </w:rPr>
        <w:t>E. 7.2.1</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w:t>
      </w:r>
    </w:p>
    <w:p>
      <w:r>
        <w:rPr>
          <w:b/>
        </w:rPr>
        <w:t>E. 7.3</w:t>
      </w:r>
    </w:p>
    <w:p>
      <w:r>
        <w:t>En l'espèce, les motifs retenus à l'appui de la mesure d'éloignement entreprise ne sauraient être contestés (cf. supra consid. 6). En effet, il est à noter que l'interdiction d'entrée prononcée à l'endroit du recourant est une mesure administrative de contrôle qui tend à le tenir éloigné de la Suisse où il a contrevenu aux prescriptions légales en commettant de multiples infractions dont la gravité ne saurait être déniée. Il en va de l'intérêt de l'Etat à voir respecter l'ordre établi et la législation en vigueur (au sens de l'art. 67 al. 2 let. a LEtr, en relation avec l'art. 80 al. 1 let. a OASA). Par conséquent, l'intérêt public à tenir l'intéressé éloigné de Suisse doit être qualifié d'important. En ce qui concerne les intérêts privés de l'intéressé, celui-ci n'a fait valoir aucune attache avec la Suisse. Il ne s'oppose d'ailleurs pas à l'interdiction d'entrée en Suisse, comme il l'a admis dans son mémoire de recours.</w:t>
      </w:r>
    </w:p>
    <w:p>
      <w:r>
        <w:rPr>
          <w:b/>
        </w:rPr>
        <w:t>E. 7.4</w:t>
      </w:r>
    </w:p>
    <w:p>
      <w:r>
        <w:t>Le Tribunal arrive donc à la conclusion que la mesure d'éloignement prononcée est nécessaire et adéquate afin de prévenir toute nouvelle atteinte à la sécurité et à l'ordre publics en Suisse. En outre, la durée de huit ans de la mesure respecte le principe de proportionnalité et correspond à celle prononcée dans des cas analogues (cf. arrêts du TAF F-40/2016 du 26 juin 2017 et C-1626/2014 du 27 avril 2016).</w:t>
      </w:r>
    </w:p>
    <w:p>
      <w:r>
        <w:rPr>
          <w:b/>
        </w:rPr>
        <w:t>E. 8</w:t>
      </w:r>
    </w:p>
    <w:p>
      <w:r>
        <w:t>Reste à examiner si la publication de l'interdiction d'entrée au SIS est justifiée, ce que l'intéressé conteste à l'appui du recours. A cet égard, il a fait valoir que cette mesure l'empêche de rejoindre sa femme et sa fille, résidant en Italie et de demander un titre de séjour pour regroupement familial. Le signalement de l'interdiction d'entrée au SIS II mettrait ainsi en péril sa situation familiale dans cet Etat et violerait par conséquent l'article 8 CEDH.</w:t>
      </w:r>
    </w:p>
    <w:p>
      <w:r>
        <w:rPr>
          <w:b/>
        </w:rPr>
        <w:t>E. 8.1</w:t>
      </w:r>
    </w:p>
    <w:p>
      <w:r>
        <w:t>Lorsqu'une décision d'interdiction d'entrée est prononcée comme en l'espèce à l'endroit d'une personne qui n'est ni un citoyen de l'Union européenne (UE), ni un ressortissant d'un pays tiers jouissant de droits de libre circulation équivalents en vertu d'accords conclus par ce pays avec la Communauté européenne (CE) et ses Etats membres (cf. art. 3 let. d du règlement SIS II), cette personne est inscrite aux fins de non-admission dans le SIS II si le cas est suffisamment important pour justifier l'introduction du signalement dans ce système (cf. art. 21 et 24 SIS II). Le signalement est notamment introduit si un ressortissant d'un Etat tiers a été condamné dans un Etat membre pour une infraction passible d'une peine privative de liberté d'au moins un an (art. 24 par. 2 let. a SIS II).</w:t>
      </w:r>
    </w:p>
    <w:p>
      <w:r>
        <w:rPr>
          <w:b/>
        </w:rPr>
        <w:t>E. 8.2</w:t>
      </w:r>
    </w:p>
    <w:p>
      <w:r>
        <w:t>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JO L 77/1 du 23.3.2016]). Seul l'Etat membre signalant est autorisé à modifier, compléter, rectifier, mettre à jour ou effacer les données qu'il a introduites dans le SIS II (art. 34 al. 2 et 3 du règlement SIS II).</w:t>
      </w:r>
    </w:p>
    <w:p>
      <w:r>
        <w:rPr>
          <w:b/>
        </w:rPr>
        <w:t>E. 8.3</w:t>
      </w:r>
    </w:p>
    <w:p>
      <w:r>
        <w:t>En l'occurrence, le signalement dans le SIS II est justifié compte tenu des infractions retenues à l'encontre de l'intéressé, passibles d'une peine privative de liberté pouvant aller jusqu'à un an (cf. art. 21, en relation avec l'art. 24 par. 2 SIS II). Il l'est d'autant plus que la Suisse, dans le champ d'application des règles de Schengen, se doit de préserver les intérêts de tous les Etats parties aux accords d'association à Schengen (cf. ATAF 2011/48 consid. 6.1).</w:t>
      </w:r>
    </w:p>
    <w:p>
      <w:r>
        <w:rPr>
          <w:b/>
        </w:rPr>
        <w:t>E. 8.4</w:t>
      </w:r>
    </w:p>
    <w:p>
      <w:r>
        <w:t>En ce qui concerne l'obstacle à l'obtention pour le recourant d'une autorisation de séjour en Italie que pourrait représenter le signalement de l'interdiction d'entrée au SIS II, il convient de rappeler que seul l'Etat membre signalant est autorisé à modifier, compléter, rectifier, mettre à jour ou effacer les données qu'il a introduites dans le SIS (art. 34 al. 2 et 3 SIS II). A cet égard, force est de rappeler qu'en vertu de l'art. 25 par. 1 de la Convention d'application de l'accord de Schengen du 19 juin 1990 (CAAS, JO L 239/19 du 22 septembre 2000, [dans la version du règlement (UE) n° 265/2010 du Parlement européen et du Conseil du 25 mars 2010 (JO L 85/1 du 31 mars 2010]), il n'est tenu de le faire que si un autre Etat membre, qui l'a préalablement consulté, octroie un titre de séjour à la personne signalée à des fins de non admission. Or, en l'espèce, il ne ressort pas du dossier que les autorités italiennes aient adressé une demande en ce sens aux autorités suisses. En outre, dans la mesure où rien ne permet d'admettre que l'intéressé soit au bénéfice d'un titre de séjour délivré par les autorités italiennes (cf. art. 25 par. 1 CAAS), rien n'oblige les autorités suisses à retirer le signalement du recourant au SIS II. Le simple fait que le recourant mentionne avoir sa femme et sa fille en Italie et qu'il souhaite y trouver un travail n'y change rien. En effet, ce n'est qu'après l'obtention d'une autorisation de séjour en Italie qu'il serait possible d'annuler le signalement aux conditions de l'art. 25 par. 1 CAAS. Par ailleurs, le Tribunal relève que lors de son expulsion en 2018, les autorités suisses s'étaient déjà adressées aux autorités italiennes pour une demande de réadmission du recourant sur ce territoire, mentionnant la relation entretenue avec sa femme et sa fille. Lesdites autorités avaient toutefois rejeté la demande, au motif qu'aucune demande d'asile n'avait été déposé dans ce pays, qu'aucune autorisation de séjour n'avait été demandée et que le recourant ne figurait pas dans leurs fichiers.</w:t>
      </w:r>
    </w:p>
    <w:p>
      <w:r>
        <w:rPr>
          <w:b/>
        </w:rPr>
        <w:t>E. 8.5</w:t>
      </w:r>
    </w:p>
    <w:p>
      <w:r>
        <w:t>C'est également en vain que l'intéressé se plaint d'une violation de l'art. 8 CEDH. En effet, il ne revient pas aux autorités suisses mais italiennes de se prononcer sur l'application de cette disposition dans le cadre d'une éventuelle demande de regroupement familial qu'il appartient au recourant de leur adresser. A cet égard, le Tribunal rappelle qu'un signalement dans le SIS II n'empêche pas un Etat Schengen d'autoriser l'entrée, de délivrer un visa ou même d'autoriser le séjour de la personne signalée pour des motifs importants, notamment humanitaires, ou en raison d'obligations internationales (cf. arrêt du TAF F-3094/2022 du 4 septembre 2023 consid. 7.5). Parmi les obligations internationales qui lient également l'Italie figure le droit au respect de la vie privée et familiale garanti par l'art. 8 CEDH. Etant donné que l'intéressé souhaite entretenir sa vie familiale avec sa femme et sa fille mineure sur le territoire italien, la responsabilité découlant de droits fondés sur l'art. 8 CEDH incombe en premier lieu à cet Etat (cf. arrêt du TAF F-4634/2020 du 10 mai 2021 consid. 9.3). Saisi d'une demande introduite par l'intéressé, l'Italie devra alors également tenir compte de l'intérêt supérieur de l'enfant lors de sa décision. Au cas où un titre de séjour italien devait être accordé au recourant, la Suisse retirerait le signalement SIS II. Elle resterait toutefois libre d'inscrire l'sur sa liste nationale de signalement (cf. art. 25 al. 1 in fine CAAS).</w:t>
      </w:r>
    </w:p>
    <w:p>
      <w:r>
        <w:rPr>
          <w:b/>
        </w:rPr>
        <w:t>E. 8.6</w:t>
      </w:r>
    </w:p>
    <w:p>
      <w:r>
        <w:t>En conclusion, le signalement au SIS II est entièrement justifié par les faits retenus et satisfait au principe de proportionnalité au vu des circonstances du cas d'espèce.</w:t>
      </w:r>
    </w:p>
    <w:p>
      <w:r>
        <w:rPr>
          <w:b/>
        </w:rPr>
        <w:t>E. 9</w:t>
      </w:r>
    </w:p>
    <w:p>
      <w:r>
        <w:t>Il ressort de ce qui précède que, par sa décision du 25 avril 2018, l'autorité inférieure n'a ni violé le droit fédéral ni constaté des faits pertinents de manière inexacte ou incomplète ; en outre, cette décision n'est pas inopportune (art. 49 PA). Le recours est dès lors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r>
        <w:rPr>
          <w:b/>
        </w:rPr>
        <w:t>E. 25</w:t>
      </w:r>
    </w:p>
    <w:p>
      <w:r>
        <w:t>avril 2018 au requérant. C. Le 9 mars 2021, A._______ a introduit un recours contre la décision précitée par-devant le Tribunal administratif fédéral (ci-après : le Tribunal</w:t>
      </w:r>
    </w:p>
    <w:p>
      <w:r>
        <w:t>F-1043/2021 Page 3 ou TAF). Il a expliqué ne pas contester l’interdiction d’entrée en Suisse, mais uniquement son inscription au SIS II. En effet, cette dernière l’empêcherait de demander un regroupement familial avec sa femme et sa fille qui séjournent en Italie. D. L’autorité inférieure, dans ses observations du 13 avril 2021, a conclu au rejet du recours. Elle a à cet égard précisé que le recourant n’avait pas démontré bénéficier d’un statut légal en Italie, susceptible de justifier la suppression de son signalement dans le Système d’information Schengen. L’intéressé n’a pas déposé de réplique dans le délai imparti. E. Par ordonnance du 11 août 2022, le Tribunal a invité le recourant à lui communiquer des informations actualisées sur sa situation personnelle. Dans son courrier du 14 septembre 2022, ce dernier a expliqué être propriétaire en Algérie d’une entreprise spécialisée dans l’import-export, d’avoir une situation familiale stable et d’avoir passé les vacances scolaires avec sa femme et sa fille au Maroc et en Algérie. F.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au sens de l'art. 33 let. d LTAF – peuvent être contestées devant le Tribunal, qui statue définitivement (art. 1 al. 2 LTAF en relation avec l'art. 83 let. c ch.1 LTF [RS 173.110]). 1.2 A moins que la LTAF n’en dispose autrement, la procédure devant le Tribunal est régie par la PA (art. 37 LTAF).</w:t>
      </w:r>
    </w:p>
    <w:p>
      <w:r>
        <w:t>F-1043/2021 Page 4 1.3 A._______ a qualité pour recourir (art. 48 al. 1 PA). Présenté dans la forme et les délais prescrits par la loi, son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 3. Il s'agit tout d'abord de définir l'objet du litige au vu des conclusions et de la motivation du recours. 3.1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L'objet du litige peut donc être réduit par rapport à l'objet de la contestation. Il ne peut en revanche, sauf exceptions non pertinentes en l'espèce, s'étendre au-delà de celui-ci (cf. ATF 144 II 359 consid. 4.3 et réf. cit.). 3.2 Concrètement, la décision attaquée consiste en une interdiction d'entrée pour la Suisse et le Liechtenstein et en une inscription dans le SIS II. De ces deux points du dispositif, le recourant ne conteste que le signalement d'interdiction d'entrée dans le SIS II, comme cela ressort sans équivoque du contenu du recours. Cela étant, compte tenu du rapport accessoire entre l'interdiction d'entrée et le signalement au SIS II, la pratique du Tribunal consiste à procéder, à titre préjudiciel, à l'analyse de la légalité de l'interdiction d'entrée (cf. infra consid. 6 et 7 ; en ce sens,</w:t>
      </w:r>
    </w:p>
    <w:p>
      <w:r>
        <w:t>F-1043/2021 Page 5 également, arrêts du TAF F-3163/2021 du 25 octobre 2021 consid. 4 et F-935/2022 du 19 septembre 2022 consid. 3), avant d'examiner si la publication de celle-ci dans le SIS II, seul objet du litige, est justifiée (cf. infra consid. 8 ; ATAF 2019 VII/2 consid. 4.3). 4. 4.1 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 4.1.1 Comme précisé dans sa jurisprudence (cf., notamment, arrêt du TAF F-2913/2018 du 12 décembre 2019 consid. 2.2 et réf. cit),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4.1.2 En l’occurrence, la décision querellée a été prononcée avant l’entrée en vigueur du nouveau droit au 1er janvier 2019. Pour ce qui a trait à l’ancien art. 80 OASA, qui définit les notions d’atteinte à la sécurité et à l’ordre publics, il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[ci-après : Message LEtr). 4.1.3 En l’absence d’un intérêt public prépondérant à ce que le nouveau droit s’applique immédiatement, le Tribunal appliquera, dès lors, l’ancien droit. Par souci de clarté, il continuera donc à utiliser l’ancienne dénomination « LEtr ». Il en va de même en rapport avec l’OASA, cette ordonnance étant citée selon sa teneur valable jusqu’au 31 décembre 2018. 4.2 En outre, force est de relever que le règlement du Système d’information Schengen a été révisé le 6 mars 2023.</w:t>
      </w:r>
    </w:p>
    <w:p>
      <w:r>
        <w:t>F-1043/2021 Page 6 4.2.1 En effet, le règlement [CE] 1987/2006 du Parlement européen et du Conseil du 20 décembre 2006 sur l'établissement, le fonctionnement et l'utilisation du système d'information Schengen de deuxième génération [SIS II, JO L 381/4 du 28 décembre 2006] a été abrogé le 6 mars 2023. En lieu et place, trois règlements de l’Union européenne ont été adoptés pour le développement du SIS, dont notamment le règlement [UE] n° 2018/1861 du Parlement européen et du Conseil du 28 novembre 2018 sur l'établissement, le fonctionnement et l'utilisation du système d'information Schengen dans le domaine des vérifications aux frontières, modifiant la Convention d'application de l'accord de Schengen et modifiant et abrogeant le règlement [CE] n° 1987/2006, JO L 312 du 7 décembre 2018, valable depuis le 7 mars 2023 [JO L 27 du 31.1.2023]). 4.2.2 En l’espèce, l’inscription au Système d’information Schengen a été faite le 25 avril 2018, soit avant l’entrée en vigueur du nouveau règlement et la mise en service du nouveau SIS (cf. art. 66 al. 2 du règlement [UE] n° 2018/1861 précité). Il convient par conséquent d’appliquer l’ancien droit. Au demeurant, le Tribunal relève que la plupart des articles applicables dans la présente procédure n’ont pas subi entre temps de modification conséquente, si ce n’est quant à leur place dans le règlement (cf. tableau de correspondance en annexe du règlement précité). 4.2.3 Cela étant, le Tribunal continuera, par souci de clarté, à utiliser l’ancienne dénomination « règlement SIS II ». 5. Dans un premier temps, il convient, à titre préjudiciel, de procéder à l’analyse de la légalité de l’interdiction d’entrée prononcée à l’égard du recourant (cf. supra consid. 3.2). 5.1 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LEtr FF 2002 3568 ; voir également ATAF 2008/24 consid. 4.2). 5.2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w:t>
      </w:r>
    </w:p>
    <w:p>
      <w:r>
        <w:t>F-1043/2021 Page 7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5.3 Concernant plus spécifiquement les notions de sécurité et d'ordre publics mentionnées à l’art. 67 al. 2 let. a LEtr, qui sont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5.4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6. 6.1 Cela étant, il convient d'examiner si le prononcé d'une interdiction d'entrée à l'endroit du recourant est justifié dans son principe. 6.2 Par arrêt du 1er septembre 2016, le Tribunal correctionnel de Lausanne a condamné le recourant à une peine privative de liberté de trois ans pour utilisation frauduleuse d’un ordinateur, utilisation frauduleuse d’un ordinateur par métier, faux dans les certificats et entrée illégale. Il est reproché à ce dernier d’avoir, entre le 27 décembre 2008 et fin avril 2009, procédé à 74 retraits d’argent frauduleux au moyen de bancomats de huit agences de la banque (…) pour un montant total de 180'580 francs et 11'800 euros.</w:t>
      </w:r>
    </w:p>
    <w:p>
      <w:r>
        <w:t>F-1043/2021 Page 8 En raison de cette seule condamnation pénale, il y a déjà lieu de retenir que le recourant a violé de manière très importante des prescriptions légales ayant été édictées dans le but de maintenir la sécurité et l'ordre publics et réalise dès lors les conditions d'application de l'art. 67 al. 2 let. a LEtr. 6.3 Il appert également du dossier qu’avant cette condamnation, le recourant avait déjà été condamné de manière réitérée en Suisse. Le 24 septembre 2001, le Tribunal de police du canton de Vaud a condamné l’intéressé, pour des faits commis entre 1999 et 2000, à quatre mois d’emprisonnement, sous déduction de dix-huit jours de détention préventive pour vol, utilisation frauduleuse d’un ordinateur et faux témoignages. Le Tribunal de police a également prononcé son expulsion pour une durée de trois ans avec sursis pendant trois ans. En outre, par jugement du 13 février 2002, la Cour de cassation pénale du Tribunal cantonal vaudois a condamné le recourant à quatre mois d’emprisonnement, sous déduction de dix-huit jours de détention préventive, pour vol, utilisation frauduleuse d’un ordinateur et faux témoignages. Par la suite, le 14 janvier 2005, le Tribunal correctionnel de Lausanne a prononcé à l’encontre de ce dernier une peine de quatre mois d’emprisonnement – peine entièrement complémentaire à celle prononcée en 2002 par la Cour de cassation pénale du Tribunal cantonal vaudois − pour vol, tentative d’escroquerie et infraction à l’ancienne loi sur le séjour et l’établissement des étrangers (LSEE). Par ailleurs, entre ces condamnations pénales des 13 février 2002 et 14 janvier 2005, le SEM avait, en 2003 déjà, prononcé une interdiction d’entrée de dix ans à l’égard du recourant. 6.4 A ce stade, il s'impose donc de retenir que l'intéressé, par son comportement délictueux en Suisse, a indiscutablement attenté à la sécurité et à l'ordre publics, de sorte qu'il remplit les conditions d'application de l'art. 67 al. 2 let. a LEtr. La mesure d'interdiction d'entrée est donc justifiée dans son principe. 7. 7.1 Il convient ensuite de déterminer, à titre préjudiciel, si la menace que l’intéressé représente pour la sécurité et l'ordre publics en Suisse doit être qualifiée de grave et si elle est ainsi susceptible de justifier le prononcé</w:t>
      </w:r>
    </w:p>
    <w:p>
      <w:r>
        <w:t>F-1043/2021 Page 9 d'une mesure d'éloignement allant au-delà de la durée maximale de cinq ans prévue à l'art. 67 al. 3 1ère phrase LEtr. 7.1.1 Selon la jurisprudence développée sous l’ancien droit,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réf. cit.). Les infractions commises doivent donc avoir le potentiel − isolément ou en raison de leur répétition − de générer une menace actuelle et grave pour la sécurité et l'ordre publics (cf. ATAF 2014/20 consid. 5.2, 2013/4 consid. 7.2.4, et réf. cit). 7.1.2 Dans le cas particulier, compte tenu de l’activité délictuelle du recourant et du caractère récidivant des infractions qu'il a commises durant sa présence sur le territoire suisse (cf. consid. 6.2 supra), le Tribunal est amené à conclure que le palier II, qui présuppose une menace caractérisée, est atteint, de sorte que la limite de la durée maximale prévue à l'art. 67 al. 3 1ère phrase LEtr peut être franchie. A l’instar de l’autorité inférieure, il sied de considérer que l'utilisation frauduleuse d'un ordinateur, sous cette forme aggravée et dans cette mesure − utilisation frauduleuse d'un ordinateur par métier – tendant à dérober, de manière répétée, de l’argent à l’aide de bancomats pour une somme totale très importante, constitue une menace suffisamment grave susceptible de peser sur les intérêts fondamentaux de la communauté.</w:t>
      </w:r>
    </w:p>
    <w:p>
      <w:r>
        <w:t>F-1043/2021 Page 10 7.2 Il convient encore d'examiner si la durée de la mesure d'éloignement prise par l'autorité inférieure − en l’occurrence huit ans − satisfait aux principes de la proportionnalité et de l'égalité de traitement. 7.2.1 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7.3 En l’espèce, les motifs retenus à l’appui de la mesure d’éloignement entreprise ne sauraient être contestés (cf. supra consid. 6). En effet, il est à noter que l'interdiction d'entrée prononcée à l'endroit du recourant est une mesure administrative de contrôle qui tend à le tenir éloigné de la Suisse où il a contrevenu aux prescriptions légales en commettant de multiples infractions dont la gravité ne saurait être déniée. Il en va de l'intérêt de l'Etat à voir respecter l'ordre établi et la législation en vigueur (au sens de l’art. 67 al. 2 let. a LEtr, en relation avec l’art. 80 al. 1 let. a OASA). Par conséquent, l'intérêt public à tenir l'intéressé éloigné de Suisse doit être qualifié d'important. En ce qui concerne les intérêts privés de l’intéressé, celui-ci n’a fait valoir aucune attache avec la Suisse. Il ne s’oppose d’ailleurs pas à l’interdiction d’entrée en Suisse, comme il l’a admis dans son mémoire de recours. 7.4 Le Tribunal arrive donc à la conclusion que la mesure d'éloignement prononcée est nécessaire et adéquate afin de prévenir toute nouvelle atteinte à la sécurité et à l'ordre publics en Suisse. En outre, la durée de huit ans de la mesure respecte le principe de proportionnalité et correspond à celle prononcée dans des cas analogues (cf. arrêts du TAF F-40/2016 du</w:t>
      </w:r>
    </w:p>
    <w:p>
      <w:r>
        <w:rPr>
          <w:b/>
        </w:rPr>
        <w:t>E. 26</w:t>
      </w:r>
    </w:p>
    <w:p>
      <w:r>
        <w:t>juin 2017 et C-1626/2014 du 27 avril 2016). 8. Reste à examiner si la publication de l’interdiction d’entrée au SIS est justifiée, ce que l’intéressé conteste à l’appui du recours. A cet égard, il a fait valoir que cette mesure l’empêche de rejoindre sa femme et sa fille,</w:t>
      </w:r>
    </w:p>
    <w:p>
      <w:r>
        <w:t>F-1043/2021 Page 11 résidant en Italie et de demander un titre de séjour pour regroupement familial. Le signalement de l’interdiction d’entrée au SIS II mettrait ainsi en péril sa situation familiale dans cet Etat et violerait par conséquent l’article 8 CEDH. 8.1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Etats membres (cf. art. 3 let. d du règlement SIS II), cette personne est inscrite aux fins de non-admission dans le SIS II si le cas est suffisamment important pour justifier l'introduction du signalement dans ce système (cf. art. 21 et 24 SIS II). Le signalement est notamment introduit si un ressortissant d'un Etat tiers a été condamné dans un Etat membre pour une infraction passible d'une peine privative de liberté d'au moins un an (art. 24 par. 2 let. a SIS II). 8.2 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JO L 77/1 du 23.3.2016]). Seul l'Etat membre signalant est autorisé à modifier, compléter, rectifier, mettre à jour ou effacer les données qu'il a introduites dans le SIS II (art. 34 al. 2 et 3 du règlement SIS II). 8.3 En l’occurrence, le signalement dans le SIS II est justifié compte tenu des infractions retenues à l’encontre de l’intéressé, passibles d’une peine privative de liberté pouvant aller jusqu’à un an (cf. art. 21, en relation avec l'art. 24 par. 2 SIS II). Il l’est d'autant plus que la Suisse, dans le champ d'application des règles de Schengen, se doit de préserver les intérêts de tous les Etats parties aux accords d'association à Schengen (cf. ATAF 2011/48 consid. 6.1). 8.4 En ce qui concerne l'obstacle à l'obtention pour le recourant d'une autorisation de séjour en Italie que pourrait représenter le signalement de l'interdiction d'entrée au SIS II, il convient de rappeler que seul l'Etat membre signalant est autorisé à modifier, compléter, rectifier, mettre à jour ou effacer les données qu'il a introduites dans le SIS (art. 34 al. 2 et 3 SIS II). A cet égard, force est de rappeler qu’en vertu de l'art. 25 par. 1 de</w:t>
      </w:r>
    </w:p>
    <w:p>
      <w:r>
        <w:t>F-1043/2021 Page 12 la Convention d'application de l'accord de Schengen du 19 juin 1990 (CAAS, JO L 239/19 du 22 septembre 2000, [dans la version du règlement (UE) n° 265/2010 du Parlement européen et du Conseil du 25 mars 2010 (JO L 85/1 du 31 mars 2010]), il n'est tenu de le faire que si un autre Etat membre, qui l'a préalablement consulté, octroie un titre de séjour à la personne signalée à des fins de non admission. Or, en l’espèce, il ne ressort pas du dossier que les autorités italiennes aient adressé une demande en ce sens aux autorités suisses. En outre, dans la mesure où rien ne permet d’admettre que l'intéressé soit au bénéfice d'un titre de séjour délivré par les autorités italiennes (cf. art. 25 par. 1 CAAS), rien n'oblige les autorités suisses à retirer le signalement du recourant au SIS II. Le simple fait que le recourant mentionne avoir sa femme et sa fille en Italie et qu’il souhaite y trouver un travail n'y change rien. En effet, ce n'est qu'après l'obtention d'une autorisation de séjour en Italie qu'il serait possible d'annuler le signalement aux conditions de l'art. 25 par. 1 CAAS. Par ailleurs, le Tribunal relève que lors de son expulsion en 2018, les autorités suisses s’étaient déjà adressées aux autorités italiennes pour une demande de réadmission du recourant sur ce territoire, mentionnant la relation entretenue avec sa femme et sa fille. Lesdites autorités avaient toutefois rejeté la demande, au motif qu’aucune demande d’asile n’avait été déposé dans ce pays, qu’aucune autorisation de séjour n’avait été demandée et que le recourant ne figurait pas dans leurs fichiers. 8.5 C’est également en vain que l’intéressé se plaint d’une violation de l’art. 8 CEDH. En effet, il ne revient pas aux autorités suisses mais italiennes de se prononcer sur l’application de cette disposition dans le cadre d’une éventuelle demande de regroupement familial qu’il appartient au recourant de leur adresser. A cet égard, le Tribunal rappelle qu'un signalement dans le SIS II n'empêche pas un Etat Schengen d'autoriser l'entrée, de délivrer un visa ou même d'autoriser le séjour de la personne signalée pour des motifs importants, notamment humanitaires, ou en raison d'obligations internationales (cf. arrêt du TAF F-3094/2022 du 4 septembre 2023 consid. 7.5). Parmi les obligations internationales qui lient également l’Italie figure le droit au respect de la vie privée et familiale garanti par l'art. 8 CEDH. Etant donné que l’intéressé souhaite entretenir sa vie familiale avec sa femme et sa fille mineure sur le territoire italien, la responsabilité découlant de droits fondés sur l'art. 8 CEDH incombe en premier lieu à cet Etat (cf. arrêt du TAF F-4634/2020 du 10 mai 2021 consid. 9.3). Saisi d’une demande introduite par l’intéressé, l’Italie devra alors également tenir compte de l'intérêt supérieur de l'enfant lors de sa décision. Au cas où un titre de séjour italien devait être accordé au</w:t>
      </w:r>
    </w:p>
    <w:p>
      <w:r>
        <w:t>F-1043/2021 Page 13 recourant, la Suisse retirerait le signalement SIS II. Elle resterait toutefois libre d’inscrire l’sur sa liste nationale de signalement (cf. art. 25 al. 1 in fine CAAS). 8.6 En conclusion, le signalement au SIS II est entièrement justifié par les faits retenus et satisfait au principe de proportionnalité au vu des circonstances du cas d’espèce. 9. Il ressort de ce qui précède que, par sa décision du 25 avril 2018, l'autorité inférieure n'a ni violé le droit fédéral ni constaté des faits pertinents de manière inexacte ou incomplète ; en outre, cette décision n'est pas inopportune (art. 49 PA). Le recours est dès lors rejeté. 10.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r>
        <w:t>F-1043/2021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