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F-1027/2022 vom 23. Februar 2022</w:t>
      </w:r>
    </w:p>
    <w:p>
      <w:r>
        <w:t>Bundesverwaltungsgericht, 2022-02-23, DE</w:t>
      </w:r>
    </w:p>
    <w:p>
      <w:r>
        <w:rPr>
          <w:b/>
        </w:rPr>
        <w:t xml:space="preserve">Quelle: </w:t>
      </w:r>
      <w:r>
        <w:t>https://mcp.opencaselaw.ch/entscheid/bvger_F-1027_2022_d20220223</w:t>
      </w:r>
    </w:p>
    <w:p>
      <w:r>
        <w:t>FR: TAF F-1027/2022 du 23 février 2022</w:t>
      </w:r>
    </w:p>
    <w:p>
      <w:r>
        <w:t>IT: TAF F-1027/2022 del 23 febbraio 2022</w:t>
      </w:r>
    </w:p>
    <w:p>
      <w:pPr>
        <w:pStyle w:val="Heading2"/>
      </w:pPr>
      <w:r>
        <w:t>Regeste</w:t>
      </w:r>
    </w:p>
    <w:p>
      <w:r>
        <w:t>Nichteintreten auf Asylgesuch und Wegweisung (Dublin-Verfahren) | Nichteintreten auf Asylgesuch und Wegweisung (Dublin-Verfahren); Verfügung des SEM vom 23. Februar 2022</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 men, ist durch die angefochtene Verfügung berührt und hat ein schutzwür- diges Interesse an deren Aufhebung beziehungsweise Änderung. Er ist da- her zur Einreichung des Rechtsmittels legitimiert (Art. 105 AsylG und Art. 48 Abs. 1 VwVG). Auf die frist- und formgerecht eingereichte Be- schwerde ist einzutreten (Art. 108 Abs. 3 AsylG sowie Art. 52 Abs. 1 VwVG).</w:t>
      </w:r>
    </w:p>
    <w:p>
      <w:r>
        <w:rPr>
          <w:b/>
        </w:rPr>
        <w:t>E. 2</w:t>
      </w:r>
    </w:p>
    <w:p>
      <w:r>
        <w:t>Die Beschwerde erweist sich als offensichtlich unbegründet und ist im Ver- fahren einzelrichterlicher Zuständigkeit mit Zustimmung eines zweiten Richters oder einer zweiten Richterin (Art. 111 Bst. e AsylG), ohne Durch- führung eines Schriftenwechsels und mit summarischer Begründung, zu behandeln (Art. 111a Abs. 1 und 2 AsylG).</w:t>
      </w:r>
    </w:p>
    <w:p>
      <w:r>
        <w:rPr>
          <w:b/>
        </w:rPr>
        <w:t>E. 3.1</w:t>
      </w:r>
    </w:p>
    <w:p>
      <w:r>
        <w:t>Mit Beschwerde in Asylsachen kann die Verletzung von Bundesrecht (einschliesslich Missbrauch und Überschreiten des Ermessens) sowie die unrichtige oder unvollständige Feststellung des rechtserheblichen Sach- verhalts gerügt werden (Art. 106 Abs. 1 AsylG).</w:t>
      </w:r>
    </w:p>
    <w:p>
      <w:r>
        <w:rPr>
          <w:b/>
        </w:rPr>
        <w:t>E. 3.2</w:t>
      </w:r>
    </w:p>
    <w:p>
      <w:r>
        <w:t>Bei Beschwerden gegen Nichteintretensentscheide, mit denen es das SEM ablehnt, ein Asylgesuch auf seine Begründetheit hin zu überprüfen (Art. 31a Abs. 1–3 AsylG), ist die Beurteilungskompetenz der Beschwer- deinstanz grundsätzlich auf die Frage beschränkt, ob die Vorinstanz zu Recht auf ein Asylgesuch nicht eingetreten ist (vgl. BVGE 2017 VI/5 E. 3.1; 2012/4 E. 2.2, je m.H.). Die Fragen der Anerkennung der Flüchtlingseigen- schaft, der Gewährung von Asyl, der Feststellung der Unmöglichkeit, Un- zulässigkeit und Unzumutbarkeit des Wegweisungsvollzugs sowie der An- ordnung der vorläufigen Aufnahme bilden demgegenüber nicht Gegen- stand des angefochtenen Nichteintretensentscheides und damit auch nicht</w:t>
      </w:r>
    </w:p>
    <w:p>
      <w:r>
        <w:t>F-1027/2022 Seite 5 des vorliegenden Verfahrens, weshalb auf die entsprechenden Anträge nicht einzutreten ist.</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dieses Staates prüft das SEM die Zuständigkeitskriterien gemäss Dublin-III-VO. Führt diese Prüfung zur Feststellung, dass ein anderer Mitgliedstaat für die Prüfung des Asylge- suchs zuständig ist, tritt das SEM, nachdem der betreffende Mitgliedstaat einer Überstellung oder Rücküberstellung zugestimmt hat, auf das Asylge- 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 ständigen Staates wird eingeleitet, sobald in einem Mitgliedstaat erstmals ein Asylantrag gestellt wird (Art. 20 Abs. 1 Dublin-III-VO). Im Fall eines so- genannten Aufnahmeverfahrens («take charge») sind die in Kapitel III (Art. 8–15 Dublin-III-VO) genannten Kriterien in der dort aufgeführten Rangfolge (Prinzip der Hierarchie der Zuständigkeitskriterien; vgl. Art. 7 Abs. 1 Dublin-III-VO) anzuwenden, und es ist von der Situation im Zeit- punkt, in dem die betreffende Person erstmals einen Antrag in einem Mit- gliedstaat gestellt hat, auszugehen (Art. 7 Abs. 2 Dublin-III-VO). Im Rah- men eines Wiederaufnahmeverfahrens («take back») findet demgegen- über grundsätzlich keine (erneute) Zuständigkeitsprüfung nach Kapitel III statt (vgl. zum Ganzen BVGE 2017 VI/5 E. 6.2 und 8.2.1 m.H.).</w:t>
      </w:r>
    </w:p>
    <w:p>
      <w:r>
        <w:rPr>
          <w:b/>
        </w:rPr>
        <w:t>E. 4.3</w:t>
      </w:r>
    </w:p>
    <w:p>
      <w:r>
        <w:t>Der nach dieser Verordnung zuständige Mitgliedstaat ist verpflichtet, die antragstellende Person, die während der Prüfung ihres Antrags in ei- nem anderen Mitgliedstaat einen Antrag gestellt hat oder die sich im Ho- heitsgebiet eines anderen Mitgliedstaats ohne Aufenthaltstitel aufhält, nach Massgabe der Artikel 23, 24, 25 und 29 wiederaufzunehmen (Art. 18 Abs. 1 Bst. b Dublin-III-VO). Die Dublin-III-VO räumt den Schutzsuchenden kein Recht ein, den ihren Antrag prüfenden Staat selber auszuwählen (vgl. BVGE 2010/45 E. 8.3).</w:t>
      </w:r>
    </w:p>
    <w:p>
      <w:r>
        <w:rPr>
          <w:b/>
        </w:rPr>
        <w:t>E. 5.1</w:t>
      </w:r>
    </w:p>
    <w:p>
      <w:r>
        <w:t>Ein Abgleich der Fingerabdrücke des Beschwerdeführers mit der «Eu- rodac»-Datenbank ergab, dass er am 25. Oktober 2021 in Bulgarien um</w:t>
      </w:r>
    </w:p>
    <w:p>
      <w:r>
        <w:t>F-1027/2022 Seite 6 Asyl nachgesucht hatte (SEM act. 7). Das SEM ersuchte die bulgarischen Behörden deshalb am 7. Februar 2022 um Übernahme des Beschwerde- führers gestützt auf Art. 18 Abs. 1 Bst. b Dublin-III-VO (SEM act. 14). Diese liessen das Ersuchen innert der in Art. 22 Abs. 1 Dublin-III-VO vorgesehe- nen Frist unbeantwortet, womit sie ihre Zuständigkeit implizit anerkannten (Art. 22 Abs. 7 Dublin-III-VO). Dies wird auf Beschwerdeebene nicht be- stritten.</w:t>
      </w:r>
    </w:p>
    <w:p>
      <w:r>
        <w:rPr>
          <w:b/>
        </w:rPr>
        <w:t>E. 5.2</w:t>
      </w:r>
    </w:p>
    <w:p>
      <w:r>
        <w:t>Nachfolgend ist demnach im Licht von Art. 3 Abs. 2 Dublin-III-VO zu prüfen, ob es wesentliche Gründe für die Annahme gibt, das Asylverfahren und die Aufnahmebedingungen für Asylsuchende in Bulgarien würden sys- temische Schwachstellen aufweisen, die eine Gefahr einer unmenschli- chen oder entwürdigenden Behandlung im Sinne des Artikels 4 der EU- Grundrechtecharta mit sich bringen würden und ob nach Art. 17 Abs. 1 Dublin-III-VO das Selbsteintrittsrecht auszuüben ist.</w:t>
      </w:r>
    </w:p>
    <w:p>
      <w:r>
        <w:rPr>
          <w:b/>
        </w:rPr>
        <w:t>E. 6</w:t>
      </w:r>
    </w:p>
    <w:p>
      <w:r>
        <w:t>März 2018 E. 5.3.1). Die Kritik des Beschwerdeführers am bulgarischen Asylsystem und die Behandlung, welche er dort erfahren haben will, genü- gen nicht, um die grundsätzliche Vermutung umzustossen, wonach Bulga- rien seinen völkerrechtlichen Verpflichtungen nachkommt (vgl. Referenzur- teil F-7195/2018 E. 6.1; Urteile des BVGer D-365/2022 E. 7.4; F-106/2022 E. 5.2; D-5684/2021 vom 6. Januar 2022 E. 7.3; F-4574/2021 vom 26. Ok- tober 2021 E. 7.1). Der Beschwerdeführer verliess Bulgarien rund einen Monat nach Einreichung des Asylgesuchs, weshalb davon auszugehen ist, dass sein Asylgesuch noch nicht materiell beurteilt wurde. Es ist weder zu erwarten, dass er nach seiner Rückkehr in Bulgarien in Haft versetzt wird, noch, dass die ihn zu erwartenden Bedingungen derart schlecht sind, dass sie zu einer Verletzung von Art. 4 der EU-Grundrechtecharta beziehungs- weise Art. 3 EMRK führen könnten (vgl. Referenzurteil F-7195/2018 E. 6.6.4; Urteil des BVGer E-754/2022 E. 7.5.1). Der Beschwerdeführer hat kein konkretes und ernsthaftes Risiko dargetan, die bulgarischen Behör- den würden sich weigern, ihn wieder aufzunehmen und seinen Antrag auf internationalen Schutz unter Einhaltung der Regeln der Verfahrensrichtlinie zu prüfen. Bei einer allfälligen vorübergehenden Einschränkung der ihm zustehenden Aufnahmebedingungen könnte er sich im Übrigen nötigen- falls an die bulgarischen Behörden wenden und seine Rechte auf dem Rechtsweg einfordern (vgl. Art. 26 Aufnahmerichtlinie). Dies gilt auch in Bezug auf die geltend gemachte Polizeigewalt und die behaupteten Schläge in der Asylunterkunft.</w:t>
      </w:r>
    </w:p>
    <w:p>
      <w:r>
        <w:rPr>
          <w:b/>
        </w:rPr>
        <w:t>E. 6.1</w:t>
      </w:r>
    </w:p>
    <w:p>
      <w:r>
        <w:t>Das Bundesverwaltungsgericht hat sich im Referenzurteil F-7195/2018 vom 11. Februar 2020 ausführlich mit dem bulgarischen Asylsystem und der Situation asylsuchender Personen in Bulgarien auseinandergesetzt. Es hat festgehalten, dass das dortige Asylverfahren sowie die Aufnahmebe- dingungen zwar gewisse Mängel aufwiesen, diese aber nicht systemischer Natur seien, weshalb von Überstellungen nach Bulgarien grundsätzlich nicht abzusehen sei. Korrekte Asylverfahren seien in Bulgarien nicht sys- tembedingt unmöglich. Die tiefe Anerkennungsquote von Staatsangehöri- gen gewisser Länder rechtfertige es nicht, keine Überstellungen mehr vor- zunehmen. Betroffene Personen könnten gegen einen negativen Asylent- scheid ein wirksames Rechtsmittel einlegen. Die Bedingungen in den Auf- nahme- und Haftzentren seien zwar prekär, könnten aber nicht als un- menschlich oder entwürdigend qualifiziert werden (E. 6.6.1 und E. 6.6.7). Auf die entsprechenden Erwägungen kann verwiesen werden (vgl. auch Urteile des BVGer E-754/2022 vom 21. Februar 2022 E. 6.1, D-365/2022 vom 27. Januar 2022 E. 7.2, F-106/2022 vom 26. Januar 2022 E. 5.3 und E-5108/2021 vom 30. November 2021 E. 5.2).</w:t>
      </w:r>
    </w:p>
    <w:p>
      <w:r>
        <w:rPr>
          <w:b/>
        </w:rPr>
        <w:t>E. 6.2</w:t>
      </w:r>
    </w:p>
    <w:p>
      <w:r>
        <w:t>Bulgarien ist Signatarstaat der EMRK, der FoK und des Abkommens vom 28. Juli 1951 über die Rechtsstellung der Flüchtlinge (FK, SR 0.142.30) sowie des Zusatzprotokolls der FK vom 31. Januar 1967 (SR 0.142.301) und kommt seinen diesbezüglichen völkerrechtlichen Verpflich- tungen nach. Es darf davon ausgegangen werden, dieser Staat anerkenne und schütze die Rechte, die sich für Schutzsuchende aus den Richtlinien</w:t>
      </w:r>
    </w:p>
    <w:p>
      <w:r>
        <w:t>F-1027/2022 Seite 7 des Europäischen Parlaments und des Rates 2013/32/EU vom 26. Juni 2013 zu gemeinsamen Verfahren für die Zuerkennung und Aberkennung des internationalen Schutzes (sog. Verfahrensrichtlinie) sowie 2013/33/EU vom 26. Juni 2013 zur Festlegung von Normen für die Aufnahme von Per- sonen, die internationalen Schutz beantragen (sog. Aufnahmerichtlinie) er- geben.</w:t>
      </w:r>
    </w:p>
    <w:p>
      <w:r>
        <w:rPr>
          <w:b/>
        </w:rPr>
        <w:t>E. 6.2.1</w:t>
      </w:r>
    </w:p>
    <w:p>
      <w:r>
        <w:t>Zwar kann die Vermutung, Bulgarien halte seine völkerrechtlichen Verpflichtungen ein, im Einzelfall widerlegt werden. Dafür braucht es aber konkrete Indizien, die gegebenenfalls vom Betroffenen glaubhaft darzutun sind (vgl. BVGE 2010/45 E. 7.4 f.; Urteil des BVGer D-5698/2017 vom</w:t>
      </w:r>
    </w:p>
    <w:p>
      <w:r>
        <w:rPr>
          <w:b/>
        </w:rPr>
        <w:t>E. 6.3</w:t>
      </w:r>
    </w:p>
    <w:p>
      <w:r>
        <w:t>Des Weiteren liegen keine konkreten Anhaltspunkte vor, wonach die Gesundheit des Beschwerdeführers bei einer Überstellung ernsthaft ge- fährdet würde. Von den Hautausschlägen, an denen er litt, sind seinen An- gaben zufolge noch Narben am ganzen Körper erkennbar. Sie scheinen indes nicht akut zu sein, hat er sich doch während seines Aufenthalts im Bundesasylzentrum weder beim dortigen Pflegepersonal gemeldet noch</w:t>
      </w:r>
    </w:p>
    <w:p>
      <w:r>
        <w:t>F-1027/2022 Seite 8 sonstige medizinische Betreuung beansprucht. Sollte er nach der Rück- kehr nach Bulgarien dennoch eine medizinische Behandlung benötigen, ist darauf hinzuweisen, dass die Mitgliedstaaten verpflichtet sind, den Antrag- stellern die erforderliche medizinische Versorgung, die zumindest die Not- versorgung und die unbedingt erforderliche Behandlung von Krankheiten und psychischen Störungen umfasst, zugänglich zu machen (Art. 19 Abs. 1 Aufnahmerichtlinie). Es droht somit keine Verletzung von Art. 3 EMRK, weshalb die Schweiz nicht zum Selbsteintritt nach Art. 17 Abs. 1 Dublin-III- VO verpflichtet ist (siehe etwa Urteile des BVGer E-754/2022 E. 7.5.2 und F-106/2022 E. 5.3 und 6.2).</w:t>
      </w:r>
    </w:p>
    <w:p>
      <w:r>
        <w:rPr>
          <w:b/>
        </w:rPr>
        <w:t>E. 7</w:t>
      </w:r>
    </w:p>
    <w:p>
      <w:r>
        <w:t>Auch humanitäre Gründe im Sinne von Art. 29a Abs. 3 der Asylverordnung 1 vom 11. August 1999 (AsylV 1, SR 142.311) liegen nicht vor. Gemäss Praxis des Bundesverwaltungsgerichts verfügt das SEM diesbezüglich über einen Ermessensspielraum (vgl. BVGE 2015/9 E. 7 f.). Die angefoch- tene Verfügung ist unter diesem Blickwinkel nicht zu beanstanden; insbe- sondere sind den Akten keine Hinweise auf einen Ermessensmissbrauch oder ein Über- respektive Unterschreiten des Ermessens zu entnehmen. Das Gericht enthält sich deshalb in diesem Zusammenhang weiterer Äusserungen.</w:t>
      </w:r>
    </w:p>
    <w:p>
      <w:r>
        <w:rPr>
          <w:b/>
        </w:rPr>
        <w:t>E. 8</w:t>
      </w:r>
    </w:p>
    <w:p>
      <w:r>
        <w:t>Nach dem Gesagten besteht kein Grund für eine Anwendung der Ermes- sensklauseln von Art. 17 Dublin-III-VO. Somit bleibt Bulgarien der für die Behandlung des Asylgesuches des Beschwerdeführers zuständige Mit- gliedstaat gemäss Dublin-III-VO.</w:t>
      </w:r>
    </w:p>
    <w:p>
      <w:r>
        <w:rPr>
          <w:b/>
        </w:rPr>
        <w:t>E. 9</w:t>
      </w:r>
    </w:p>
    <w:p>
      <w:r>
        <w:t>Das SEM ist demnach zu Recht in Anwendung von Art. 31a Abs. 1 Bst. b AsylG auf das Asylgesuch des Beschwerdeführers nicht eingetreten. Da er nicht im Besitz einer gültigen Aufenthalts- oder Niederlassungsbewilligung ist, wurde die Überstellung in Anwendung von Art. 44 AsylG ebenfalls zu Recht angeordnet (Art. 32 Bst. a AsylV 1).</w:t>
      </w:r>
    </w:p>
    <w:p>
      <w:r>
        <w:rPr>
          <w:b/>
        </w:rPr>
        <w:t>E. 10</w:t>
      </w:r>
    </w:p>
    <w:p>
      <w:r>
        <w:t>Nach dem Gesagten ist die Beschwerde abzuweisen, soweit darauf einzu- treten ist, und die Verfügung des SEM zu bestätigen.</w:t>
      </w:r>
    </w:p>
    <w:p>
      <w:r>
        <w:t>F-1027/2022 Seite 9</w:t>
      </w:r>
    </w:p>
    <w:p>
      <w:r>
        <w:rPr>
          <w:b/>
        </w:rPr>
        <w:t>E. 11</w:t>
      </w:r>
    </w:p>
    <w:p>
      <w:r>
        <w:t>Der am 4. März 2022 angeordnete Vollzugsstopp fällt mit vorliegendem Ur- teil dahin.</w:t>
      </w:r>
    </w:p>
    <w:p>
      <w:r>
        <w:rPr>
          <w:b/>
        </w:rPr>
        <w:t>E. 12</w:t>
      </w:r>
    </w:p>
    <w:p>
      <w:r>
        <w:t>Das in der Beschwerde gestellte Gesuch um Gewährung der unentgeltli- chen Prozessführung und Verzicht auf die Erhebung eines Kostenvor- schusses ist abzuweisen, da die Begehren – wie sich aus den vorstehen- den Erwägungen ergibt – als aussichtslos zu bezeichnen sind. Somit sind die Voraussetzungen von Art. 65 Abs. 1 VwVG nicht erfüllt; die Verfahrens- kosten sind dem Beschwerdeführer aufzuerlegen (Art. 63 Abs. 1 VwVG) und auf insgesamt Fr. 750.– festzusetzen (Art. 1 – 3 des Reglements vom 21. Februar 2008 über die Kosten und Entschädigungen vor dem Bundes- verwaltungsgericht [VGKE, SR 173.320.2]).</w:t>
      </w:r>
    </w:p>
    <w:p>
      <w:r>
        <w:t>Dispositiv nächste Seite</w:t>
      </w:r>
    </w:p>
    <w:p>
      <w:r>
        <w:t>F-1027/2022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