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F-1022/2019 vom 14. Februar 2020</w:t>
      </w:r>
    </w:p>
    <w:p>
      <w:r>
        <w:t>Bundesverwaltungsgericht, 2020-02-14, FR</w:t>
      </w:r>
    </w:p>
    <w:p>
      <w:r>
        <w:rPr>
          <w:b/>
        </w:rPr>
        <w:t xml:space="preserve">Quelle: </w:t>
      </w:r>
      <w:r>
        <w:t>https://mcp.opencaselaw.ch/entscheid/bvger_F-1022_2019</w:t>
      </w:r>
    </w:p>
    <w:p>
      <w:r>
        <w:t>FR: TAF F-1022/2019 du 14 février 2020</w:t>
      </w:r>
    </w:p>
    <w:p>
      <w:r>
        <w:t>IT: TAF F-1022/2019 del 14 febbraio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et son cousin, l'hôte et garant B._______, représentés tous deux par le même mandataire, ont participé à la procédure devant l'autorité inférieure, sont spécialement atteints par la décision attaquée et conservent un intérêt digne de protection à la présente procédure de recours, bien que les dates originairement prévues à la visite de l'invitée en Suisse soient dépassées (cf. art. 48 al. 1 PA ; cf., dans ce sens, arrêt du TAF F-4669/2017 du 17 mai 2019 consid. 1.3).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 décision querellée a été prononcée après l'entrée en vigueur au 1er janvier 2019 des modifications de la LEtr du 16 décembre 2016. Il convient de relever que les articles de la LEtr applicables dans la présente procédure, soit principalement les art. 2 et 5, n'ont pas subi de modification. Le Tribunal utilisera donc la nouvelle dénomination « LEI ». Il en va de même en rapport avec l'OASA et l'OIE qui seront citées selon leur teneur valable depuis le 1er janvier 2019.</w:t>
      </w:r>
    </w:p>
    <w:p>
      <w:r>
        <w:rPr>
          <w:b/>
        </w:rPr>
        <w:t>E. 3.3</w:t>
      </w:r>
    </w:p>
    <w:p>
      <w:r>
        <w:t>Par ailleurs, il convient de relever que l'ordonnance du 22 octobre 2008 sur l'entrée et l'octroi de visas (aOEV) a été abrogée et remplacée par l'ordonnance du 15 août 2018 sur l'entrée et l'octroi de visas (OEV, RS 142.204), entrée en vigueur le 15 septembre 2018. Etant donné que la procédure devant l'autorité inférieure est postérieure à cette date, la nouvelle ordonnance est applicable (cf. art. 70 et 71 OEV).</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w:t>
      </w:r>
    </w:p>
    <w:p>
      <w:r>
        <w:t>Dans un premier temps, il y a lieu de rappeler les conditions générales posées à l'entrée en Suisse pour un séjour n'excédant pas 90 jours (cf. consid. 5.1 infra). Les conditions des moyens de subsistance suffisants et de la garantie du retour ponctuel dans le pays d'origine à l'issue du séjour envisagé seront exposées (cf. consid. 5.2 et 5.3 infra). Enfin, il sera fait mention du visa à validité territoriale limitée (cf. consid. 5.4 infra) et constaté que l'invitée est soumise à l'obligation du visa (cf. consid. 5.5 infra).</w:t>
      </w:r>
    </w:p>
    <w:p>
      <w:r>
        <w:rPr>
          <w:b/>
        </w:rPr>
        <w:t>E. 5.1</w:t>
      </w:r>
    </w:p>
    <w:p>
      <w:r>
        <w:t>Les dispositions sur la procédure en matière de visa ainsi que sur l'entrée en Suisse et la sortie de ce pays ne s'appliquent que dans la mesure où les accords d'association à Schengen, qui sont mentionnés àl'Annexe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w:t>
      </w:r>
    </w:p>
    <w:p>
      <w:r>
        <w:rPr>
          <w:b/>
        </w:rPr>
        <w:t>E. 5.2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dont la teneur ne se distingue pas fondamentalement de l'ancienne,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w:t>
      </w:r>
    </w:p>
    <w:p>
      <w:r>
        <w:rPr>
          <w:b/>
        </w:rPr>
        <w:t>E. 5.3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5.5</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algérienne, l'invitée est soumise à l'obligation du visa (cf. annexe I des règlements susmentionnés).</w:t>
      </w:r>
    </w:p>
    <w:p>
      <w:r>
        <w:rPr>
          <w:b/>
        </w:rPr>
        <w:t>E. 6</w:t>
      </w:r>
    </w:p>
    <w:p>
      <w:r>
        <w:t>En date du 5 décembre 2018, la Représentation suisse à Alger a refusé la délivrance du visa en faveur de la requérante au moyen du formulaire-type Schengen, en indiquant que l'objet et les conditions du séjour envisagé n'avaient pas été justifiés.</w:t>
      </w:r>
    </w:p>
    <w:p>
      <w:r>
        <w:rPr>
          <w:b/>
        </w:rPr>
        <w:t>E. 6.1</w:t>
      </w:r>
    </w:p>
    <w:p>
      <w:r>
        <w:t>Par décision du 24 janvier 2019, l'autorité intimée a rejeté l'opposition et a confirmé le refus d'autorisation d'entrée dans l'Espace Schengen concernant l'intéressée. Elle a en effet considéré que sa sortie de l'Espace Schengen, au terme du séjour sollicité, n'apparaissait pas suffisamment garantie, compte tenu de sa situation personnelle (jeune, célibataire, sans famille à charge, manque de preuves quant à ses moyens financiers propres) et de la situation socio-économique prévalant dans son pays d'origine. Aux yeux du SEM, il ne saurait être exclu que l'intéressée souhaite prolonger sa présence une fois arrivée dans l'Espace Schengen, dans l'espoir de trouver des conditions d'existence meilleures qu'elle ne connaît dans son pays.</w:t>
      </w:r>
    </w:p>
    <w:p>
      <w:r>
        <w:rPr>
          <w:b/>
        </w:rPr>
        <w:t>E. 6.2</w:t>
      </w:r>
    </w:p>
    <w:p>
      <w:r>
        <w:t>Dans son recours du 27 février 2019, la recourante a exposé que, selon la jurisprudence du Tribunal, la situation socio-économique qui prévalait dans son pays d'origine ne suffisait pas, à elle seule, à conclure à l'absence de garantie quant à sa sortie de Suisse et de l'Espace Schengen à l'issue du séjour projeté. Elle a ajouté qu'elle bénéficiait d'une situation financière très confortable, que toute sa famille habitait en Algérie et qu'elle n'avait jamais vécu hors de ce pays à l'exception de séjours de courte durée. De plus, elle a souligné qu'elle avait bénéficié de six visas pour des séjours sur le territoire Schengen au cours des dix dernières années et qu'elle avait à chaque fois respecté la durée de séjour qui en découlait. Ainsi, les autorités avaient constaté qu'elle remplissait les conditions à l'octroi de ces visas en 2008, 2010, 2011, 2012, 2014 et 2017, sa situation personnelle n'ayant par ailleurs pas évolué défavorablement depuis lors. Elle a ensuite déclaré que, selon l'art. 12 PA, il aurait appartenu à l'autorité administrative de procéder à l'administration de preuves supplémentaires en cas de doute sur sa situation. Enfin, la décision du 24 janvier 2019 était inopportune et le SEM n'avait pas pris en considération les particularités du cas d'espèce, dite décision ne montrant pas en quoi les doutes quant à son retour dans son pays d'origine seraient raisonnables ou fondés.</w:t>
      </w:r>
    </w:p>
    <w:p>
      <w:r>
        <w:rPr>
          <w:b/>
        </w:rPr>
        <w:t>E. 6.3</w:t>
      </w:r>
    </w:p>
    <w:p>
      <w:r>
        <w:t>Il s'agit donc de se déterminer si c'est à tort que l'autorité inférieure a considéré qu'au vu de la situation socio-économique en Algérie et de la situation personnelle de la recourante, un retour dans son pays d'origine à l'issue du séjour envisagé n'était pas suffisamment garanti.</w:t>
      </w:r>
    </w:p>
    <w:p>
      <w:r>
        <w:rPr>
          <w:b/>
        </w:rPr>
        <w:t>E. 7</w:t>
      </w:r>
    </w:p>
    <w:p>
      <w:r>
        <w:t>Dans un premier temps, le Tribunal examinera si l'intéressée dispose bien des moyens financiers nécessaires pour son séjour envisagé de six jours en Suisse (cf. formulaire « Demande de visa Schengen », points 29 et 30) et pour son retour.</w:t>
      </w:r>
    </w:p>
    <w:p>
      <w:r>
        <w:rPr>
          <w:b/>
        </w:rPr>
        <w:t>E. 7.1</w:t>
      </w:r>
    </w:p>
    <w:p>
      <w:r>
        <w:t>Si l'on retient le montant de référence de 100 francs par jour indiqué à l'Annexe 18 du Manuel relatif au traitement des demandes de visa et à la modification des visas délivrés (« Montants de référence requis pour le franchissement des frontières extérieures, fixés annuellement par les autorités nationales », accessible sur le site du SEM : www.sem.admin.ch sous Publications &amp; Services Directives et circulaires VII. Visas Séjour jusqu'à 90 jours [réglementation Schengen, consulté en février 2020 ; ci-après : Manuel des visas I et Compléments]) et le nombre de 6 jours prévus pour la visite de l'invitée en Suisse, cette dernière devrait disposer de 600 francs si elle entend assumer elle-même les frais de son séjour sur le territoire helvétique. A ce montant, il y aurait lieu d'ajouter les frais du voyage aller et retour ainsi que l'assurance médicale de voyage (cf. ATAF 2019 VII/1 consid. 9 et arrêt du TAF F-4669/2017 du 17 mai 2019 consid. 5.2).</w:t>
      </w:r>
    </w:p>
    <w:p>
      <w:r>
        <w:rPr>
          <w:b/>
        </w:rPr>
        <w:t>E. 7.2</w:t>
      </w:r>
    </w:p>
    <w:p>
      <w:r>
        <w:t>A l'appui de sa demande de visa, l'invitée a notamment produit des documents établis par la compagnie d'assurances D._______ comme justificatif d'une assurance médicale de voyage.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30'000 EUR. Cette assurance doit être valable sur l'ensemble du territoire des Etats Schengen et pendant toute la durée du séjour prévu de l'intéressée (cf., à ce sujet, Manuel des visas I et Compléments, p. 89 ss). L'art. 15 par. 5 du code des visas précise que les autorités doivent vérifier si les indemnités dues par la compagnie d'assurances sont récupérables dans un Etat membre de l'UE ou de l'AELE (cf., aussi à ce sujet, Manuel des visas I et Compléments, p. 90 et 91 qui précise pour quelles compagnies d'assurance cette condition est remplie ; voir aussi Gregor T. Chatton, Les exceptions à l'assurance obligatoire des soins : quelques points de contact entre le droit public et le droit privé, Revue suisse des assurances sociales et de la prévoyance professionnelle [RSAS] 55/2011 p. 495). Outre le fait que l'intéressée devrait contracter une nouvelle assurance médicale de voyage pour la durée de son séjour envisagé en Suisse (la période d'assurance indiquée sur les documents produits par l'intéressée étant entretemps échue), il n'est pas certain que l'assurance-voyage qui avait été conclue par l'invitée remplisse toutes les exigences légales susmentionnées, ce d'autant moins que le dossier de la cause ne contient pas les conditions générales de la compagnie précitée. Il reviendra donc à l'autorité inférieure de s'assurer que la nouvelle assurance de voyage de l'invitée soit conforme aux prescriptions légales en la matière.</w:t>
      </w:r>
    </w:p>
    <w:p>
      <w:r>
        <w:rPr>
          <w:b/>
        </w:rPr>
        <w:t>E. 7.3</w:t>
      </w:r>
    </w:p>
    <w:p>
      <w:r>
        <w:t>Pour le surplus, au vu de l'ensemble des pièces financières fournies (à savoir la lettre d'invitation et de prise en charge de l'invitant, la copie des bulletins de salaire récents de celui-ci [faisant état d'un traitement mensuel moyen net de plus de 9'400 francs], les fiches de salaires de la recourante [attestant d'un salaire mensuel d'environ 450 francs [représentant environ le double du salaire moyen algérien], de la copie de son extrait de compte du 26 février 2019 [laissant apparaitre un solde de plus de 11'000 francs]), il y a lieu de considérer que l'invitée bénéficie des moyens financiers suffisants pour la durée de son séjour en Suisse et son retour dans son pays d'origine, son séjour devant se limiter de surcroît à la durée indiquée de 6 jours (cf. dossier SEM, pces 101 et 103). Tout au plus incombera-t-il à l'autorité inférieure de formaliser son engagement financier par la signature du formulaire (déclaration de prise en charge) idoine par le garant (art. 14 ss. OEV) et de demander à celui-ci l'éventuelle production d'un extrait de compte bancaire en cas de doute subsistant quant à ses moyens financiers.</w:t>
      </w:r>
    </w:p>
    <w:p>
      <w:r>
        <w:rPr>
          <w:b/>
        </w:rPr>
        <w:t>E. 7.4</w:t>
      </w:r>
    </w:p>
    <w:p>
      <w:r>
        <w:t>En conclusion, si l'on excepte la problématique de l'assurance médicale de voyage, qu'il incombera à l'autorité inférieure de soumettre à un examen plus attentif, et l'éventuelle formalisation de la déclaration de prise en charge par l'invitant, qui - en cas de nécessité et sur demande - attestera de ses moyens financiers par la production d'une copie de son extrait de compte bancaire, l'invitée se conforme à l'exigence relative à l'existence des moyens financiers nécessaires au séjour envisagé en Suisse.</w:t>
      </w:r>
    </w:p>
    <w:p>
      <w:r>
        <w:rPr>
          <w:b/>
        </w:rPr>
        <w:t>E. 8</w:t>
      </w:r>
    </w:p>
    <w:p>
      <w:r>
        <w:t>Il s'agit maintenant de déterminer si le retour de l'invitée dans son pays d'origine à l'issue de son séjour en Suisse est suffisamment garanti.</w:t>
      </w:r>
    </w:p>
    <w:p>
      <w:r>
        <w:rPr>
          <w:b/>
        </w:rPr>
        <w:t>E. 8.1</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8.2</w:t>
      </w:r>
    </w:p>
    <w:p>
      <w:r>
        <w:t>Compte tenu de la qualité de vie et des conditions économiques et sociales particulières que connaît la population algérienne, on ne saurait de prime abord écarter les craintes de l'autorité inférieure de voir l'intéressée prolonger son séjour en Suisse au-delà de la date d'échéance du visa sollicité. Avec un produit intérieur brut (PIB) par habitant de 4'114,7 USD en 2018, l'Algérie demeure très en dessous des standards européens. Selon les valeurs de 2018, l'indice de développement humain (IDH), qui prend en compte la santé, l'éducation et le revenu des personnes, la classe en 85e position sur 189 Etats (sources : site internet de la Banque mondiale [https://donnees.banquemondiale.org/indicator/NY.GDP.PCAP.CD?loca-tiolo=DZ&amp;view=chart, site consulté en février 2020] ; rapport Indices et indicateurs de développement humain 2018 du Programme des Nations Unies pour le développement - PNUD [http://hdr.undp.org/sites/default/files/2018_human_development_statistical_update_fr.pdf, site consulté en février 2020]). Il sied également de relever que les autorités helvétiques sont régulièrement saisies de demandes d'asile émanant de ressortissants algériens, l'Algérie figurant au 5e rang des pays de provenance des requérants d'asile en Suisse pendant le 4e trimestre 2019 (cf. Commentaires sur les statistiques en matière d'asile du 13 août 2019, en ligne sur le site du SEM : www. sem.admin.ch &gt; Publications &amp; service &gt; Statistiques en matière d'asile, site consulté en février 2020 ; voir également arrêts du TAF F-365/2018 du 20 mai 2019 consid. 7.2 et F-510/2018 du 28 mai 2018 consid. 6.2).</w:t>
      </w:r>
    </w:p>
    <w:p>
      <w:r>
        <w:rPr>
          <w:b/>
        </w:rPr>
        <w:t>E. 8.3</w:t>
      </w:r>
    </w:p>
    <w:p>
      <w:r>
        <w:t>Dès lors, les conditions socio-économiques prévalant en Algérie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comme cela est le cas en l'espèce (arrêt du TAF F-5295/2018 du 6 août 2019 consid. 7.4). Compte tenu de la situation générale en Algérie et des nombreux avantages qu'offrent la Suisse et d'autres pays membres de l'Espace Schengen (en termes de niveau et de qualité de vie, d'emploi, de sécurité, d'infrastructures scolaires et socio-médicales, etc.), le Tribunal ne saurait partant faire abstraction du risque d'une éventuelle prolongation par l'intéressée de son séjour sur le territoire helvétique au-delà de la durée de validité de son visa (arrêt du TAF F-5701/2018 précité consid. 8.3 et jurisprudence citée).</w:t>
      </w:r>
    </w:p>
    <w:p>
      <w:r>
        <w:rPr>
          <w:b/>
        </w:rPr>
        <w:t>E. 8.4</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(aux plans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S'agissant des justificatifs pouvant être produits pour démontrer la volonté de quitter le territoire des Etats Schengen à l'issue du séjour envisagé et la possibilité dont disposent les autorités de requérir le versement d'une caution sur un compte bancaire en Suisse, il y a lieu de renvoyer aux considérants 5.2 et 5.3 ci-dessus. Il convient dès lors d'examiner si, en l'état, la situation personnelle, familiale, financière et sociale de l'invité plaide en faveur d'un retour ponctuel de sa part dans son pays d'origine.</w:t>
      </w:r>
    </w:p>
    <w:p>
      <w:r>
        <w:rPr>
          <w:b/>
        </w:rPr>
        <w:t>E. 8.5</w:t>
      </w:r>
    </w:p>
    <w:p>
      <w:r>
        <w:t>En l'occurrence, l'intéressée est célibataire et âgée de 31 ans. Elle a expliqué que son cousin (au deuxième degré), ressortissant suisse et algérien résidant à Lausanne, ainsi que sa famille entretenaient de forts liens familiaux depuis plusieurs générations (cf. dossier TAF, act. 8 et dossier SEM, pce 105). Il convient ainsi d'admettre qu'elle dispose d'attaches familiales sur le territoire helvétique. En revanche, l'invitée travaille depuis le 23 novembre 2017 en qualité de directrice administrative auprès de la clinique C._______, qui se trouve en Algérie, ce qui dénote une certaine stabilité professionnelle, d'autant plus que ladite clinique est exploitée par son père (cf. recours p. 4 et dossier SEM, pce 98), - sans toutefois garantir en tant que tel son départ ponctuel à l'échéance du visa sollicité. Il ressort cela dit de la copie du passeport de l'intéressée qu'elle a préalablement obtenu entre 2008 et 2017 six visas Schengen, dont deux à titre professionnel et quatre pour des motifs personnels (cf. recours p. 4 et annexes, pces 12, 13 et 16 à 19). Les timbres humides contenus dans son passeport démontrent qu'elle n'y a pas séjourné au-delà de la validité des visas délivrés (cf. dossier SEM, pces 79 à 83 ; arrêts du TAF F-5701/2018 du 9 octobre 2019 consid. 8.5 et F-4669/2017 du 17 mai 2019 consid. 6.6.1). Par ailleurs, il y a lieu de rappeler que la recourante, gagnant environ le double du salaire moyen algérien, jouit d'une situation financière relativement confortable dans son pays d'origine et que la majorité de sa famille, et en particulier ses parents, y réside (cf. consid. 7.3 supra). Ces éléments tendent, dans une certaine mesure, à relativiser le risque que l'intéressée prolonge sa présence au-delà du séjour envisagé en Suisse et permettent de considérer que celle-ci manifeste l'intention de respecter l'ordre juridique suisse en quittant le territoire national à l'échéance d'un visa. Par contre, le fait que l'invitant se soit porté garant de son départ ponctuel (cf. dossier SEM, pce 42) n'est pas décisif en soi (cf., à ce sujet, notamment arrêts du TAF précité et F-4176/2017 du 1er mars 2018 consid. 6). Il appert dès lors qu'un refus d'octroi d'un visa en faveur de l'intéressée ne tient pas suffisamment compte de sa situation personnelle et s'avère disproportionné. Sur le principe, un visa pour une visite familiale doit donc pouvoir lui être délivré.</w:t>
      </w:r>
    </w:p>
    <w:p>
      <w:r>
        <w:rPr>
          <w:b/>
        </w:rPr>
        <w:t>E. 8.6</w:t>
      </w:r>
    </w:p>
    <w:p>
      <w:r>
        <w:t>Afin de tenir compte toutefois du risque résiduel de prolongation du séjour en Suisse et dans l'optique de mieux garantir un retour ponctuel de l'intéressée dans son pays d'origine (respectivement pour couvrir les éventuels frais de retour [forcé]), l'octroi du visa devra être conditionné au versement préalable par l'intéressée d'une caution d'un montant de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8.7</w:t>
      </w:r>
    </w:p>
    <w:p>
      <w:r>
        <w:t>Au vu de ce qui précède, le recours est partiellement admis et la décision du 24 janvier 2019 annulée. La cause est renvoyée à l'autorité inférieure, qui est invitée à autoriser l'entrée en Suisse de l'intéressée dans le but d'accomplir une visite d'ordre familial, après avoir déterminé, notamment, si l'intéressée dispose d'une assurance médicale de voyage conforme aux exigences légales, avoir obtenu une déclaration de prise en charge en bonne et due forme de son hôte et garant et vérifié qu'elle ait versé une caution de 30'000 francs auprès de l'établissement bancaire qui aura été désigné par le SPOP.</w:t>
      </w:r>
    </w:p>
    <w:p>
      <w:r>
        <w:rPr>
          <w:b/>
        </w:rPr>
        <w:t>E. 9.1</w:t>
      </w:r>
    </w:p>
    <w:p>
      <w:r>
        <w:t>La recourante ayant obtenu partiellement gain de cause (l'octroi d'un visa étant en principe admis, mais à la condition qu'elle dispose d'une assurance médicale de voyage conforme aux exigences, présente une déclaration de prise en charge en bonne et due forme de son garant et verse une caution d'un montant de 30'000 francs sur un compte bancaire en Suisse), des frais réduits de procédure d'un montant de 500 francs sont mis à sa charge (art. 63 al. 1 PA en relation avec les art. 1 à 3 du règlement du 21 février 2008 concernant les frais, dépens et indemnités fixés par le Tribunal administratif fédéral [FITAF, RS 173.320.2]). La recourante ayant versé une avance de frais de 1'000 francs en date du 11 avril 2019, un montant de 500 francs lui sera restitué. L'autorité inférieure, qui succombe partiellement, n'a pas à supporter de frais réduits de procédure (art. 63 al. 2 PA).</w:t>
      </w:r>
    </w:p>
    <w:p>
      <w:r>
        <w:rPr>
          <w:b/>
        </w:rPr>
        <w:t>E. 9.2</w:t>
      </w:r>
    </w:p>
    <w:p>
      <w:r>
        <w:t>La recourante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considérant les art. 8 ss FITAF, que le versement d'un montant de 500 francs à titre de dépens réduits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