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F-1004/2022 vom 31. Januar 2022</w:t>
      </w:r>
    </w:p>
    <w:p>
      <w:r>
        <w:t>Bundesverwaltungsgericht, 2022-01-31, DE</w:t>
      </w:r>
    </w:p>
    <w:p>
      <w:r>
        <w:rPr>
          <w:b/>
        </w:rPr>
        <w:t xml:space="preserve">Quelle: </w:t>
      </w:r>
      <w:r>
        <w:t>https://mcp.opencaselaw.ch/entscheid/bvger_F-1004_2022_d20220131</w:t>
      </w:r>
    </w:p>
    <w:p>
      <w:r>
        <w:t>FR: TAF F-1004/2022 du 31 janvier 2022</w:t>
      </w:r>
    </w:p>
    <w:p>
      <w:r>
        <w:t>IT: TAF F-1004/2022 del 31 gennaio 2022</w:t>
      </w:r>
    </w:p>
    <w:p>
      <w:pPr>
        <w:pStyle w:val="Heading2"/>
      </w:pPr>
      <w:r>
        <w:t>Regeste</w:t>
      </w:r>
    </w:p>
    <w:p>
      <w:r>
        <w:t>Schengen-Visum | Schengen-Visum zu Besuchszwecken; Verfügung des SEM vom 31. Januar 2022</w:t>
      </w:r>
    </w:p>
    <w:p>
      <w:pPr>
        <w:pStyle w:val="Heading2"/>
      </w:pPr>
      <w:r>
        <w:t>Erwägungen</w:t>
      </w:r>
    </w:p>
    <w:p>
      <w:r>
        <w:rPr>
          <w:b/>
        </w:rPr>
        <w:t>E. 1.1</w:t>
      </w:r>
    </w:p>
    <w:p>
      <w:r>
        <w:t>Einspracheentscheide des SEM betreffend Schengen-Visa sind mit Be- schwerde beim Bundesverwaltungsgericht anfechtbar (Art. 112 Abs. 1 AIG [SR 142.20] i.V.m. Art. 31 ff. VGG). Das Bundesverwaltungsgericht ent- scheidet in diesem Bereich endgültig (Art. 83 Bst. c Ziff. 1 BGG).</w:t>
      </w:r>
    </w:p>
    <w:p>
      <w:r>
        <w:rPr>
          <w:b/>
        </w:rPr>
        <w:t>E. 1.2</w:t>
      </w:r>
    </w:p>
    <w:p>
      <w:r>
        <w:t>Das Rechtsmittelverfahren vor dem Bundesverwaltungsgericht richtet sich nach dem VwVG, soweit das VGG nichts anderes bestimmt (Art. 37 VGG).</w:t>
      </w:r>
    </w:p>
    <w:p>
      <w:r>
        <w:rPr>
          <w:b/>
        </w:rPr>
        <w:t>E. 1.3</w:t>
      </w:r>
    </w:p>
    <w:p>
      <w:r>
        <w:t>Der Beschwerdeführer hat am vorangegangenen Einspracheverfahren teilgenommen und ist als Gastgeber der Gesuchsteller durch den ange- fochtenen Entscheid besonders berührt. Obwohl der ursprünglich ange- strebte Besuchszeitraum inzwischen abgelaufen ist, kann – nicht zuletzt angesichts der Einreichung des Rechtsmittels – auf ein fortbestehendes Rechtsschutzinteresse geschlossen werden. Der Beschwerdeführer ist da- her zur Erhebung des Rechtsmittels legitimiert (Art. 48 Abs. 1 VwVG). Auf die im Übrigen frist- und formgerecht eingereichte Beschwerde ist einzu- treten (vgl. Art. 50 Abs. 1 und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Dem angefochtenen Entscheid liegen die Gesuche dreier pakistani- scher Staatsangehöriger um Erteilung eines Visums zu Besuchszwecken für die Schweiz zugrunde. Da sie sich als sogenannte Drittstaatsangehö- rige nicht aus eigenem und vorliegend auch nicht aus abgeleitetem Recht auf die EU/EFTA-Personenfreizügigkeitsabkommen berufen können und die beabsichtigte Aufenthaltsdauer 90 Tage innerhalb eines Zeitraums von</w:t>
      </w:r>
    </w:p>
    <w:p>
      <w:r>
        <w:t>F-1004/2022 Seite 4 180 Tagen nicht überschreitet, fällt die vorliegende Streitsache in den per- sönlichen und sachlichen Anwendungsbereich der Schengen-Assoziie- 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 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Europäischen Parlaments und des Rates vom 9. März 2016 über einen Gemeinschafts- kodex für das Überschreiten der Grenzen durch Personen (kodifizierter Text) (Schengener Grenzkodex, SGK, Abl. L 77/1 vom 23.03.2016) und die Verordnung (EU) 2018/1806 des Europäischen Parlaments und des Rates vom 14. November 2018 zur Aufstellung der Liste der Drittländer, deren Staatsangehörige beim Überschreiten der Aussengrenzen im Besitz eines Visums sein müssen, sowie die Liste der Drittländer, deren Staatsangehö- rige von dieser Visumpflicht befreit sind (kodifizierter Text) (nachfolgend: Verordnung [EU] 2018/1806, ABl. L 303/39 vom 28.11.2018). In ihrem An- wendungsbereich regeln sie umfassend die Visumpflicht, die Visum- vergabe und die Einreise in das Hoheitsgebiet der durch das Schengen- Recht gebundenen Staaten (nachfolgend: Mitgliedstaaten).</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w:t>
      </w:r>
    </w:p>
    <w:p>
      <w:r>
        <w:t>F-1004/2022 Seite 5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 Ver- fahren und die Voraussetzungen der Visumerteilung vom Visakodex gere- gelt werden (Art. 12 Abs. 1 VEV). Gemäss Art. 21 Abs. 1 VK ist ein (formell zulässiges) Visumgesuch daraufhin zu überprüfen, ob die allgemeinen Ein- reisevoraussetzungen des Art. 6 Abs. 1 Bst. a, c, d und e SGK erfüllt sind (zur Bezugnahme des Art. 21 Abs. 1 VK auf Art. 5 Abs. 1 Bst. a, c, d und e SGK vgl. Art. 44 SGK i.V.m. der Entsprechungstabelle im Anhang X). Der restliche Inhalt des Art. 21 VK differenziert und konkretisiert diese Prüfung, wobei besonders wichtige Aspekte eine eingehende Regelung erfahren.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 Ist das Visum zu verweigern, weil einer oder meh- rere Ablehnungsgründe gegeben sind, kann ausnahmsweise ein VrG-Vi- sum nach Art. 25 VK erteilt werden. Ein Ausnahmefall, der die Ausstellung eines VrG-Visums gestattet, liegt namentlich vor, wenn es ein Mitgliedstaat aus humanitären Gründen, aus Gründen des nationalen Interesses oder aufgrund internationaler Verpflichtungen für erforderlich hält, vom Grund- satz abzuweichen, dass die in Art. 6 Abs. 1 Bst. a, c, d und e SGK festge- legten Einreisevoraussetzungen erfüllt sein müssen (Art. 25 Abs. 1 Bst. a Ziff. i VK).</w:t>
      </w:r>
    </w:p>
    <w:p>
      <w:r>
        <w:rPr>
          <w:b/>
        </w:rPr>
        <w:t>E. 5.1</w:t>
      </w:r>
    </w:p>
    <w:p>
      <w:r>
        <w:t>Pakistanische Staatsangehörige in der Situation der Gesuchsteller un- terstehen der Visumpflicht (Art. 3 Abs. 1 der Verordnung (EU) 2018/1806 i.V.m. deren Anhang I Ziff. 1). Die Erteilung der Visa wurde ihnen auf Ein- sprache hin verweigert, weil keine hinreichenden Gründe für eine fristge- rechte Wiederausreise bestünden. Damit wurde auf den Verweigerungs- grund des Art. 32 Abs. 1 Bst. b VK Bezug genommen, demgemäss das</w:t>
      </w:r>
    </w:p>
    <w:p>
      <w:r>
        <w:t>F-1004/2022 Seite 6 Visum der gesuchstellenden Person zu verweigern ist, «wenn begründete Zweifel (…) an der Glaubwürdigkeit (ihrer) Aussagen oder der von (ihr) be- kundeten Absicht bestehen, das Hoheitsgebiet der Mitgliedstaaten vor Ab- lauf der Gültigkeit des beantragten Visums zu verlassen.»</w:t>
      </w:r>
    </w:p>
    <w:p>
      <w:r>
        <w:rPr>
          <w:b/>
        </w:rPr>
        <w:t>E. 5.2</w:t>
      </w:r>
    </w:p>
    <w:p>
      <w:r>
        <w:t>Bei der Beurteilung des Kriteriums der gesicherten Wiederausreise muss ein zukünftiges Verhalten beurteilt werden, wozu nur Prognosen ge- troffen werden können. Dabei sind sämtliche Umstände des konkreten Ein- zelfalls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6.1</w:t>
      </w:r>
    </w:p>
    <w:p>
      <w:r>
        <w:t>Betreffend die allgemeinen Verhältnisse in Pakistan ist Folgendes fest- zuhalten: In Pakistan bestehen hohe politische und soziale Spannungen und das Land leidet unter einer schweren Wirtschafts- und Finanzkrise. Ebenso bestehen Spannungen zwischen verschiedenen muslimischen Glaubensrichtungen sowie zwischen extremistischen religiösen Gruppie- rungen und dem Staat. Politisch-religiös motivierte Gewalttaten und Unru- hen können jederzeit unvermittelt ausbrechen. Bei Unruhen kann die Re- gierung kurzfristig den Ausnahmezustand über einzelne Gebiete verhän- gen. Dieser berechtigt die Behörden u.a., die Versammlungs- oder Bewe- gungsfreiheit einzuschränken und Ausgangssperren zu verhängen. Im ganzen Land besteht jederzeit die Gefahr von Terroranschlägen. Mögliche Ziele sind Behörden, staatliche Einrichtungen, religiöse Minderheiten und belebte Orte wie Märkte, Einkaufszentren, öffentlicher Verkehr, etc. (vgl. &lt; https://www.eda.admin.ch &gt; Reisehinweise und Vertretungen &gt; Länder- auswahl &gt; Pakistan &gt; Reisehinweise für Pakistan, abgerufen am 27.01.2024). Das Wirtschaftswachstum Pakistans lag 2021 und 2022 bei etwa sechs Prozent. Für 2023 erwartet der Internationale Währungsfonds jedoch nur noch ein Wachstum um 0.5 Prozent. Pakistans Wirtschaftsdy- namik wurde durch die unsichere politische und wirtschaftliche Situation, die schwierigen Rahmenbedingungen für ausländische Investoren und die</w:t>
      </w:r>
    </w:p>
    <w:p>
      <w:r>
        <w:t>F-1004/2022 Seite 7 verheerenden Überschwemmungen im Sommer 2022 deutlich gedämpft. Das Land steht weiterhin vor umfassenden strukturellen Problemen. Die Staatsschulden steigen, die Währung verliert an Wert, die Inflationsrate ist hoch und es mangelt an Reserven in ausländischer Währung. Rund 40 Prozent der staatlichen Einnahmen werden für die Tilgung von Krediten benötigt (vgl. &lt; https://www.bmz.de &gt; Länder &gt; Pakistan &gt; Aktuelle Situa- tion &gt; Wirtschaftliche Situation, abgerufen am 27.01.2024). Auf dem aktu- ellen Index der menschlichen Entwicklung, der durch das Entwicklungspro- gramm der Vereinten Nationen im Sinne eines Wohlstandsindikators er- stellt wird, belegt Pakistan sodann lediglich Platz 161 von 191 gelisteten Staaten (vgl. &lt; https://hdr.undp.org &gt; Data Center ˃ Country Insights &gt; Pa- kistan, abgerufen am 27.01.2024).</w:t>
      </w:r>
    </w:p>
    <w:p>
      <w:r>
        <w:rPr>
          <w:b/>
        </w:rPr>
        <w:t>E. 6.2</w:t>
      </w:r>
    </w:p>
    <w:p>
      <w:r>
        <w:t>Vor diesem Hintergrund ist nicht zu beanstanden, dass die Vorinstanz das Risiko einer nicht fristgerechten Wiederausreise von Besucherinnen und Besuchern aus Pakistan allgemein als hoch einschätzt (vgl. Urteil des BVGer F-4076/2022 vom 16. Oktober 2023 E. 6.3).</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Heimatland beispielsweise eine besondere berufliche, gesellschaftliche oder familiäre Verantwortung, kann dies die Prognose für eine anstandslose Wiederaus- reise begünstigen. Umgekehrt muss bei Personen, die in ihrer Heimat keine besonderen Verpflichtungen haben, das Risiko eines ausländer- rechtlich nicht regelkonformen Verhaltens nach einer bewilligten Einreise als vergleichsweise hoch eingeschätzt werden (BVGE 2014/1 E. 6.3.1; 2009/27 E. 8). Zudem kann ein im Zielland Schweiz bestehendes familiä- res oder soziales Beziehungsnetz den Entscheid, dorthin auszuwandern, erleichtern – insbesondere, wenn es gleichzeitig im Aufenthaltsstaat an ei- nem entsprechenden Netz fehlt. Angesichts der restriktiven Zulassungsre- gelung kommt es in solchen Konstellationen nicht selten zur Umgehung von ausländerrechtlichen Bestimmungen, indem die Gesuchstellenden – einmal eingereist – versuchen, den Aufenthalt auf eine andere rechtliche Basis abzustützen (vgl. BVGE 2014/1 E. 6.2.2). Inwiefern diesen</w:t>
      </w:r>
    </w:p>
    <w:p>
      <w:r>
        <w:t>F-1004/2022 Seite 8 Erwägungen das Diskriminierungsverbot entgegenstünde, wird in der Be- schwerde nicht substantiiert vorgebracht und ist auch sonst nicht ersicht- lich.</w:t>
      </w:r>
    </w:p>
    <w:p>
      <w:r>
        <w:rPr>
          <w:b/>
        </w:rPr>
        <w:t>E. 7.2</w:t>
      </w:r>
    </w:p>
    <w:p>
      <w:r>
        <w:t>Bei den Gesuchstellern handelt es sich um die verwitwete 46-jährige Nichte des Beschwerdeführers (Gesuchstellerin 1) sowie ihre beiden 16- und 12-jährigen Kinder (Gesuchsteller 2 und 3). Der Ehemann der Gesuch- stellerin 1 und Vater der Gesuchsteller 2 und 3 ist verstorben, wobei der Zeitpunkt seines Todes nicht aus den Akten ersichtlich ist. Die Gesuchstel- ler scheinen keine weiteren nahen Verwandten in Pakistan zu haben. Die beiden minderjährigen Gesuchsteller 2 und 3 gehen in Pakistan zur Schule und können (noch) nicht zum Familieneinkommen beitragen. Folglich ist – mangels gegenteiliger Vorbringen – davon auszugehen, dass die Gesuch- stellerin 1 in Pakistan als alleinerziehende Mutter sowohl in finanzieller Hin- sicht als auch in Bezug auf die Betreuung ihrer Kinder auf sich alleine ge- stellt ist. Demgegenüber verfügen die Gesuchsteller in der Schweiz durch ihren hier lebenden (Gross-)Onkel und dessen Familie über ein vorbeste- hendes familiäres Beziehungsnetz, was das Emigrationsrisiko insgesamt erhöht (vgl. E. 7.1). Sodann kann aufgrund der finanziellen Situation des Beschwerdeführers und dessen Familie angenommen werden, dass sie in der Lage wären, zumindest für eine gewisse Zeit für die Unterhaltskosten der Gesuchsteller in der Schweiz aufzukommen. Der in der Schweiz le- bende (Gross-)Onkel, der Tod des Familienvaters und die dadurch feh- lende Unterstützung in Pakistan sowie die naheliegende Perspektive, den Kindern im Ausland eine bessere und stabilere Zukunft zu ermöglichen, führen objektiv betrachtet zu Zweifeln an einer fristgerechten Wiederaus- reise der Gesuchsteller.</w:t>
      </w:r>
    </w:p>
    <w:p>
      <w:r>
        <w:rPr>
          <w:b/>
        </w:rPr>
        <w:t>E. 7.3</w:t>
      </w:r>
    </w:p>
    <w:p>
      <w:r>
        <w:t>In Bezug auf die wirtschaftliche und berufliche Situation der Gesuch- steller führt der Beschwerdeführer in der Beschwerdeeingabe sinngemäss aus, die Gesuchstellerin 1 gehe einer Erwerbstätigkeit mit einem angemes- senen Einkommen nach und verfüge zudem über Vermögen aus einem Erbe. Zusätzlich erhalte sie diverse andere Einkommen. Worin diese zu- sätzlichen Einkünfte bestehen oder wie hoch das Vermögen der Gesuch- stellerin 1 ist, wird nicht ausgeführt. Vielmehr verweist der Beschwerdefüh- rer hauptsächlich darauf, dass er und seine Familie für alle Kosten aufkom- men würden, die während des Besuchs der Gesuchsteller in der Schweiz anfallen. Für die Beurteilung des Kriteriums der gesicherten Wiederaus- reise ist jedoch hauptsächlich die persönliche, familiäre und wirtschaftliche Situation der gesuchstellenden Person ausschlaggebend (vgl. E. 7.1). Aus den vorinstanzlichen Akten ergibt sich, dass die Gesuchstellerin 1 zum</w:t>
      </w:r>
    </w:p>
    <w:p>
      <w:r>
        <w:t>F-1004/2022 Seite 9 Zeitpunkt der Gesucheinreichung als «Manager Financial Services» res- pektive «Senior Sales Exactive» (gemeint wohl: Executive) in einem Un- ternehmen arbeitete. Aus ihren Lohnabrechnungen vom September, Okto- ber und November 2021 ist ersichtlich, dass sie monatlich jeweils PKR 43'000.– brutto (umgerechnet CHF 122.–) verdiente. Dies liegt unter dem Durchschnittslohn in Pakistan, der im Jahr 2021 monatlich USD 150.– (umgerechnet ca. CHF 140.– [Stand November 2021]) betrug (vgl. &lt;https://www.ceicdata.com/de/indicator/pakistan/monthly-earnings&gt;, ab- gerufen am 27.01.2024). Das Bankkonto des verstorbenen Ehemanns der Gesuchstellerin 1 wies per 21. Oktober 2021 einen Saldo von PKR 272'739.41 (umgerechnet CHF 1'447.–) auf. Die Gesuchstellerin 1 selbst verfügte gemäss eingereichtem Kontoauszug vom 24. November 2021 über ein Vermögen von PKR 3'846'178.60 (umgerechnet CHF 20'395.60 gemäss Tageskurs vom 24. November 2021). Hierbei fällt jedoch auf, dass der Grossteil des Bankguthabens (nämlich insgesamt PKR 4'042'973.–) aus insgesamt drei «outward clearings» vom 23. Juni,</w:t>
      </w:r>
    </w:p>
    <w:p>
      <w:r>
        <w:rPr>
          <w:b/>
        </w:rPr>
        <w:t>E. 7.4</w:t>
      </w:r>
    </w:p>
    <w:p>
      <w:r>
        <w:t>Unter Berücksichtigung der allgemeinen Situation im Herkunftsland und vor dem dargelegten persönlichen Hintergrund durfte die Vorinstanz davon ausgehen, dass keine hinreichende Gewähr für eine fristgerechte und anstandslose Wiederausreise der Gesuchsteller nach einem Besuchs- aufenthalt besteht. Zwar ist der infrage stehende Aufenthaltszweck zeitlich und inhaltlich klar umrissen – nämlich ein rund 3-wöchiger Familienbesuch bei ihrem in der Schweiz lebenden (Gross-)Onkel und dessen Familie –, dennoch lassen die persönlichen Lebensumstände der Gesuchsteller in Pakistan – soweit bekannt – in der Gesamtbetrachtung nicht auf eine aus- reichende Gewähr für die fristgerechte Wiederausreise schliessen. Die Vo- raussetzungen für die Erteilung eines Besuchervisums im Sinne von Art. 6 SGK beziehungsweise Art. 5 AIG sind demnach nicht erfüllt.</w:t>
      </w:r>
    </w:p>
    <w:p>
      <w:r>
        <w:t>F-1004/2022 Seite 10 8. Im Übrigen wurden Gründe für die Ausstellung eines VrG-Visums weder vom Beschwerdeführer geltend gemacht noch ergeben sich solche aus den Akten. Folglich hat die Vorinstanz die Ausstellung eines Visums zu Recht verweigert.</w:t>
      </w:r>
    </w:p>
    <w:p>
      <w:r>
        <w:rPr>
          <w:b/>
        </w:rPr>
        <w:t>E. 8</w:t>
      </w:r>
    </w:p>
    <w:p>
      <w:r>
        <w:t>Im Übrigen wurden Gründe für die Ausstellung eines VrG-Visums weder vom Beschwerdeführer geltend gemacht noch ergeben sich solche aus den Akten. Folglich hat die Vorinstanz die Ausstellung eines Visums zu Recht verweigert.</w:t>
      </w:r>
    </w:p>
    <w:p>
      <w:r>
        <w:rPr>
          <w:b/>
        </w:rPr>
        <w:t>E. 9</w:t>
      </w:r>
    </w:p>
    <w:p>
      <w:r>
        <w:t>Aus den vorstehenden Erwägungen folgt, dass die angefochtene Verfü- gung im Lichte von Art. 49 VwVG nicht zu beanstanden ist. Die Be- schwerde ist daher abzuweisen.</w:t>
      </w:r>
    </w:p>
    <w:p>
      <w:r>
        <w:rPr>
          <w:b/>
        </w:rPr>
        <w:t>E. 10</w:t>
      </w:r>
    </w:p>
    <w:p>
      <w:r>
        <w:t>Entsprechend dem Ausgang des Verfahrens wird der unterliegende Be- schwerdeführer kostenpflichtig (Art. 63 Abs. 1 VwVG i.V.m. Art. 1 ff. des Reglements vom 21. Februar 2008 über die Kosten und Entschädigungen vor dem Bundesverwaltungsgericht [VGKE, SR 173.320.2]). Eine Partei- entschädigung fällt ausgangsgemäss ausser Betracht (Art. 64 Abs. 1 VwVG).</w:t>
      </w:r>
    </w:p>
    <w:p>
      <w:r>
        <w:t>(Dispositiv nächste Seite)</w:t>
      </w:r>
    </w:p>
    <w:p>
      <w:r>
        <w:t>F-1004/2022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