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F-10025/2025 vom 26. Januar 2026</w:t>
      </w:r>
    </w:p>
    <w:p>
      <w:r>
        <w:t>Bundesverwaltungsgericht, 2026-01-26, DE</w:t>
      </w:r>
    </w:p>
    <w:p>
      <w:r>
        <w:rPr>
          <w:b/>
        </w:rPr>
        <w:t xml:space="preserve">Quelle: </w:t>
      </w:r>
      <w:r>
        <w:t>https://mcp.opencaselaw.ch/entscheid/bvger_F-10025_2025</w:t>
      </w:r>
    </w:p>
    <w:p>
      <w:r>
        <w:t>FR: TAF F-10025/2025 du 26 janvier 2026</w:t>
      </w:r>
    </w:p>
    <w:p>
      <w:r>
        <w:t>IT: TAF F-10025/2025 del 26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korrekt erwogen, dass gemäss Art. 18 Abs. 1 Bst. b Dublin-III-VO Kroatien für die Behandlung des Asylgesuchs des Beschwerdeführers zuständig ist. Daran vermag das Vorbringen des Beschwerdeführers, wonach er dort keinen Asylantrag habe stellen wollen und gezwungen worden sei, seine Fingerabdrücke abzugeben, nichts zu ändern. Die Dublin-III-VO räumt den Schutzsuchenden kein Recht ein, den ihren Antrag prüfenden Staat selbst auszuwählen (vgl. BVGE 2010/45 E. 8.3). Zudem ist die Abnahme von Fingerabdrücken bei illegal einreisenden ausländischen Personen und Asylsuchenden nicht zu beanstanden (vgl. Art. 14 Abs. 1 der Verordnung [EU] Nr. 603/2013 des Europäischen Parlaments und des Rates vom 26. Juni 2013 [Eurodac-Verordnung]).</w:t>
      </w:r>
    </w:p>
    <w:p>
      <w:r>
        <w:rPr>
          <w:b/>
        </w:rPr>
        <w:t>E. 2.2</w:t>
      </w:r>
    </w:p>
    <w:p>
      <w:r>
        <w:t>Weiter hat die Vorinstanz zutreffend erwogen, dass das kroatische Asylsystem rechtsprechungsgemäss keine systemischen Mängel aufweist (vgl. Referenzurteil des BVGer E-1488/2020 vom 22. März 2023 E. 9.5; zuletzt Urteile des BVGer F-7457/2025 vom 7. Oktober 2025 E. 4.1; F-6866/2025 vom 30. September 2025 E. 4.2; F-7214/2025 vom 24. September 2025 E. 2.1), aufgrund derer die Zuständigkeit gemäss Art. 3 Abs. 2 zweiter Unterabsatz Dublin-III-VO auf die Schweiz überginge. Darüber hinaus hat die Vorinstanz zutreffend festgehalten, dass keine völkerrechtlichen Vollzugshindernisse ersichtlich sind, welche die Schweiz zu einem Selbsteintritt nach Art. 17 Abs. 1 Dublin-III-VO verpflichten würden, und hat in rechtsfehlerfreier Ausübung des ihr nach Art. 17 Abs. 1 Dublin-III-VO und Art. 29a Abs. 3 der Asylverordnung 1 vom 11. August 1999 (AsylV 1, SR 142.311) zukommenden Ermessens von einem freiwilligen Selbsteintritt der Schweiz abgesehen. Diesbezüglich hat die Vorinstanz insbesondere die Vorbringen des Beschwerdeführers im Hinblick auf die schlechte Behandlung seitens der kroatischen Behörden berücksichtigt und rechtsprechungskonform gewürdigt. Sie ist demnach zu Recht auf das Asylgesuch des Beschwerdeführers nicht eingetreten (Art. 31a Abs. 1 Bst. b AsylG) und hat seine Wegweisung nach Kroatien angeordnet (Art. 44 AsylG). Im Übrigen wird auf die Begründung der angefochtenen Verfügung verwiesen.</w:t>
      </w:r>
    </w:p>
    <w:p>
      <w:r>
        <w:rPr>
          <w:b/>
        </w:rPr>
        <w:t>E. 2.3</w:t>
      </w:r>
    </w:p>
    <w:p>
      <w:r>
        <w:t>Was der Beschwerdeführer auf Rechtsmittelebene vorbringt, vermag an der Richtigkeit der angefochtenen Verfügung nichts zu ändern. Die von ihm wiedergegebenen Urteile deutscher Gerichte (welche das Bundesverwaltungsgericht ohnehin nicht binden) und die Berichte von Nichtregierungsorganisationen zur Situation von Asylsuchenden in Kroatien, zu den Push-backs, zur Polizeigewalt, zu fehlenden wirksamen Rechtsmitteln, zur Gesundheitsversorgung sowie zum Refoulement-Verbot vermögen keine systemischen Mängel im Sinne von Art. 3 Abs. 2 zweiter Unterabsatz Dublin-III-VO zu belegen. Für eine Änderung der Rechtsprechung (zu den Voraussetzungen: BGE 147 V 342 E. 5.5.1 m.w.H.) besteht in Würdigung der Äusserungen des Beschwerdeführers keine Veranlassung. Es ist davon auszugehen, dass Gesuchstellende, welche gestützt auf die Dublin-III-VO nach Kroatien überstellt werden, Zugang zum dortigen Asylverfahren erhalten und dass Kroatien deren Rechte gemäss dem internationalen Recht einhält. Sollte der Beschwerdeführer nach seiner Rückkehr von Behördenvertretern rechtswidrig behandelt werden, hat er sich an das kroatische Justizwesen oder die dortigen Aufsichtsbehörden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 Soweit mit der Gefahr einer Kettenabschiebung argumentiert wird, ist darauf hinzuweisen, dass ohne die Feststellung, dass das Asylverfahren im ersuchten Mitgliedstaat systemische Schwachstellen aufweist, nicht geprüft werden darf, ob im konkreten Fall die Gefahr einer Verletzung des Grundsatzes des Non-Refoulement besteht (Urteil des BVGer F-4412/2024 vom 26. Juli 2024 E. 4.5 mit Verweis auf das Urteil des Europäischen Gerichtshofs [EuGH] vom 30. November 2023 in den verbundenen Rechtssachen C-228/21, C-254/21, C-297/21, C-315/21 und C-328/21, Rn. 129-142 und Dispositivziffer 2).</w:t>
      </w:r>
    </w:p>
    <w:p>
      <w:r>
        <w:rPr>
          <w:b/>
        </w:rPr>
        <w:t>E. 2.4</w:t>
      </w:r>
    </w:p>
    <w:p>
      <w:r>
        <w:t>Aus den vorstehenden Erwägungen ergibt sich, dass keine Veranlassung besteht, die Sache zur Neubeurteilung an die Vorinstanz zurückzuweisen. Es ist nicht ersichtlich und wird vom Beschwerdeführer auch nicht näher ausgeführt, welche wichtigen, zur Zuständigkeit der Schweiz führenden Tatsachen durch die Vorinstanz näher abgeklärt werden müssten. Der entsprechende Eventualantrag ist somit abzuweisen. Das Bundesverwaltungsgericht geht ferner in seiner Praxis davon aus, dass die schweizerischen Behörden bei den kroatischen Behörden in der Regel keine individuellen Zusicherungen bezüglich des Zugangs zu adäquater Unterbringung, Betreuung und medizinischer Versorgung einzuholen haben (vgl. Referenzurteil E-1488/2020 vom 22. März 2023 E. 12). Das entsprechende Subeventualbegehren ist ebenfalls abzuweisen.</w:t>
      </w:r>
    </w:p>
    <w:p>
      <w:r>
        <w:rPr>
          <w:b/>
        </w:rPr>
        <w:t>E. 3</w:t>
      </w:r>
    </w:p>
    <w:p>
      <w:r>
        <w:t>Nach dem Gesagten ist die angefochtene Verfügung vom 18. Dezember 2025 nicht zu beanstanden und die Beschwerde ist abzuweisen.</w:t>
      </w:r>
    </w:p>
    <w:p>
      <w:r>
        <w:rPr>
          <w:b/>
        </w:rPr>
        <w:t>E. 4</w:t>
      </w:r>
    </w:p>
    <w:p>
      <w:r>
        <w:t>Mit vorliegendem Urteil fällt der am 29. Dezember 2025 angeordnete Vollzugsstopp dahin.</w:t>
      </w:r>
    </w:p>
    <w:p>
      <w:r>
        <w:rPr>
          <w:b/>
        </w:rPr>
        <w:t>E. 5.1</w:t>
      </w:r>
    </w:p>
    <w:p>
      <w:r>
        <w:t>Die Begehren erweisen sich als aussichtslos, weshalb das Gesuch um unentgeltliche Prozessführung (Art. 65 Abs. 1 VwVG) abzuweisen ist.</w:t>
      </w:r>
    </w:p>
    <w:p>
      <w:r>
        <w:rPr>
          <w:b/>
        </w:rPr>
        <w:t>E. 5.2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(vgl.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