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F-1000/2024 vom 5. November 2024</w:t>
      </w:r>
    </w:p>
    <w:p>
      <w:r>
        <w:t>Bundesverwaltungsgericht, 2024-11-05, DE</w:t>
      </w:r>
    </w:p>
    <w:p>
      <w:r>
        <w:rPr>
          <w:b/>
        </w:rPr>
        <w:t xml:space="preserve">Quelle: </w:t>
      </w:r>
      <w:r>
        <w:t>https://mcp.opencaselaw.ch/entscheid/bvger_F-1000_2024</w:t>
      </w:r>
    </w:p>
    <w:p>
      <w:r>
        <w:t>FR: TAF F-1000/2024 du 5 novembre 2024</w:t>
      </w:r>
    </w:p>
    <w:p>
      <w:r>
        <w:t>IT: TAF F-1000/2024 del 5 novembre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[SR 142.20] i.V.m. Art. 31 ff. VGG und Art. 5 VwVG). Das Rechtsmit- telverfahren richtet sich nach dem VwVG, soweit das VGG nichts anderes bestimmt (Art. 37 VGG).</w:t>
      </w:r>
    </w:p>
    <w:p>
      <w:r>
        <w:rPr>
          <w:b/>
        </w:rPr>
        <w:t>E. 1.2</w:t>
      </w:r>
    </w:p>
    <w:p>
      <w:r>
        <w:t>Der Beschwerdeführer hat am vorangegangenen Einspracheverfahren teilgenommen und ist als Gastgeber des Gesuchstellers durch die ange- fochtene Verfügung besonders berührt. Er ist zur Erhebung des Rechtsmit- tels legitimiert, zumal der Gesuchsteller nach wie vor einen Besuch in der Schweiz anstrebt (Art. 48 Abs. 1 VwVG). Auf die frist- und formgerecht ein- gereichte Beschwerde ist einzutreten (Art. 50 Abs. 1 und Art. 52 Abs. 1 VwVG).</w:t>
      </w:r>
    </w:p>
    <w:p>
      <w:r>
        <w:rPr>
          <w:b/>
        </w:rPr>
        <w:t>E. 1.3</w:t>
      </w:r>
    </w:p>
    <w:p>
      <w:r>
        <w:t>In der vorliegenden Angelegenheit entscheidet das Bundesverwal- tungsgericht endgültig (Art. 83 Bst. c Ziff. 1 BGG, vgl. dazu Urteil des BGer 2C_316/2024 vom 21. Juni 2024 E. 2).</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soweit nicht eine kantonale Behörde als Be- schwerdeinstanz verfügt hat – die Unangemessenheit gerügt werden (Art. 49 VwVG). Das Bundesverwaltungsgericht wendet das Bundesrecht von Amtes wegen an und ist nicht an die Begründung der Begehren ge- bunden (Art. 62 Abs. 4 VwVG). Massgeblich ist grundsätzlich die Sachlage im Entscheidzeitpunkt (vgl. BVGE 2020 VII/4 E. 2.2 m.H., 2014/1 E. 2).</w:t>
      </w:r>
    </w:p>
    <w:p>
      <w:r>
        <w:rPr>
          <w:b/>
        </w:rPr>
        <w:t>E. 3.1</w:t>
      </w:r>
    </w:p>
    <w:p>
      <w:r>
        <w:t>Der angefochtenen Verfügung liegt das Gesuch eines thailändischen Staatsangehörigen um Erteilung eines Visums zu Besuchszwecken in der Schweiz zugrunde. Da sich der Gesuchsteller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w:t>
      </w:r>
    </w:p>
    <w:p>
      <w:r>
        <w:t>F-1000/2024 Seite 4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Als thai- ländischer Staatsangehöriger unterliegt der Gesuchsteller der Visums- pflicht (Anhang I der bereits erwähnten Verordnung Nr. 2018/1806). Weiter müssen Drittstaatsangehörige den Zweck und die Umstände ihres beabsichtigten Aufenthalts belegen und hierfür über ausreichende finanzi- elle Mittel verfügen. Namentlich haben sie in diesem Zusammenhang zu belegen, dass sie den Schengen-Raum vor Ablauf des bewilligungsfreien Aufenthaltes verlassen, beziehungsweise ausreichende Gewähr für eine fristgerechte Wiederausreise bieten. Des Weiteren dürfen Drittstaatsange- hörige nicht im Schengener Informationssystem (SIS) zur Einreiseverwei- 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w:t>
      </w:r>
    </w:p>
    <w:p>
      <w:r>
        <w:t>F-1000/2024 Seite 5 und des Rates vom 9. März 2016 über einen Gemeinschaftskodex für das Überschreiten der Grenzen durch Personen [Schengener Grenzkodex, SGK, ABl. L 77/1 vom 23.03.2016]; Art. 14 Abs. 1 und Art. 21 Abs. 1 der Verordnung [EG] Nr. 810/2009 des Europäischen Parlaments und des Ra- tes vom 13. Juli 2009 über einen Visakodex der Gemeinschaft [Visakodex, VK, Abl. L 243/1 vom 15.09.2009]). Wenn die drittstaatsangehörige Person nicht bereit ist, das Hoheitsgebiet des Schengen-Raums fristgerecht wieder zu verlassen, ist eine Gefahr für die öffentliche Ordnung im Sinne von Art. 6 Abs. 1 Bst. e SGK anzunehmen (BVGE 2014/1 E. 4.3 m.H.). Die Behörden haben daher zu prüfen und die drittstaatsangehörige Person hat zu belegen, dass keine Gefahr einer rechtswidrigen Einwanderung oder einer nicht fristgerechten Ausreise be- steht (Art. 14 Abs. 1 Bst. d und Art. 21 Abs. 1 VK). Bestehen Zweifel an ei- nem fristgerechten Verlassen des Hoheitsgebiets der Mitgliedstaaten, so ist das Visum zu verweigern (Art. 32 Abs. 1 Bst. b VK). Den Behörden kommt bei der Beurteilung, ob die Voraussetzungen für die Visumsertei- lung erfüllt sind, ein weiter Beurteilungsspielraum zu (BVGE 2014/1 E. 4.1.5 in fine).</w:t>
      </w:r>
    </w:p>
    <w:p>
      <w:r>
        <w:rPr>
          <w:b/>
        </w:rPr>
        <w:t>E. 4.1</w:t>
      </w:r>
    </w:p>
    <w:p>
      <w:r>
        <w:t>Die Vorinstanz hielt zur Begründung ihrer Verfügung fest, in Thailand herrsche aus politischer und wirtschaftlicher Sicht ein starker Zuwande- rungsdruck. Es gebe keine Hinweise für besondere familiäre oder persön- liche Verpflichtungen des Gesuchstellers in seinem Heimatland. Hingegen lebe seine Mutter (die Ehefrau des Beschwerdeführers) und sein Halbbru- der in der Schweiz. Damit erscheine die Wiederausreise des Gesuchstel- lers als nicht gesichert.</w:t>
      </w:r>
    </w:p>
    <w:p>
      <w:r>
        <w:rPr>
          <w:b/>
        </w:rPr>
        <w:t>E. 4.2</w:t>
      </w:r>
    </w:p>
    <w:p>
      <w:r>
        <w:t>Im Einladungsschreiben vom 9. Juli 2023 legte der Beschwerdeführer dar, seine Ehefrau wolle (…) Jahre nach ihrer Abreise aus Thailand ihrem Sohn, dem Gesuchsteller, einen erstmaligen Besuch in der Schweiz er- möglichen. Sie würden sämtliche Kosten übernehmen und verfügten über ausreichend Platz in ihrem neu renovierten Eigenheim. In der Beschwerde wird geltend gemacht, bei der Ausreise der Mutter des Gesuchstellers aus Thailand sei dieser (…) Jahre alt gewesen, habe bei seinem Vater gelebt und mit diesem zusammengearbeitet, weshalb sie es als das Beste erach- tete hätten, dass er weiterhin im Heimatland lebe. Der Vater des Gesuch- stellers sei aber (…) verstorben und die ganze Situation habe sich geän- dert. Nachdem das Gesuch um Familiennachzug gescheitert sei, hätten sie diverse Bestätigungen eingeholt und dargetan, dass sie weder sozial- hilfeabhängig seien, noch Betreibungen hätten und für den Aufenthalt des</w:t>
      </w:r>
    </w:p>
    <w:p>
      <w:r>
        <w:t>F-1000/2024 Seite 6 Gesuchstellers aufkommen könnten. Obwohl sie eine Verpflichtungserklä- rung unterzeichnet hätten, sei das Gesuch abgelehnt worden. Sie hätten sich alle stets ans Gesetz gehalten. Entgegen der Annahme der Vorinstanz dürften keine Zweifel an der fristgerechten Wiederausreise des Gesuch- stellers bestehen, da er gegebenenfalls in Zukunft erneut seine Familie in der Schweiz besuchen wolle. Die Verfügung sei zudem unsorgfältig und fehlerhaft verfasst worden und die Verweigerung eines Visums für den Ge- suchsteller sei ungerecht.</w:t>
      </w:r>
    </w:p>
    <w:p>
      <w:r>
        <w:rPr>
          <w:b/>
        </w:rPr>
        <w:t>E. 5.1</w:t>
      </w:r>
    </w:p>
    <w:p>
      <w:r>
        <w:t>Der Gesuchsteller stammt aus der Region C._______ und lebt inzwi- schen in D._______.</w:t>
      </w:r>
    </w:p>
    <w:p>
      <w:r>
        <w:rPr>
          <w:b/>
        </w:rPr>
        <w:t>E. 5.2</w:t>
      </w:r>
    </w:p>
    <w:p>
      <w:r>
        <w:t>Thailand gehört gemäss dem Human Development Index (HDI) 2022, welcher die sozioökonomische Entwicklung eines Landes misst, mit einem HDI von 0.8 zu den sehr hoch entwickelten Ländern. Der Human Capital Index (HCI) 2020, der Auskunft über die sozioökonomischen Möglichkeiten gibt, platziert Thailand bei 0.61 in der Kategorie «upper middle income» (vgl. «https://hdr.undp.org/data-center/human-development-index#/indi- cies/HDI», «https://datacatalog.worldbank.org/search/dataset/0038030» beide abgerufen am 03.10.2024). Thailands Wirtschaft ist in den letzten vier Jahrzenten stark gewachsen. Das Wachstum der stark exportorientier- ten Wirtschaft hat sich allerdings in den letzten Jahren aufgrund verschie- dener Faktoren verlangsamt («https://www.worldbank.org/en/country/thai- land/overview» abgerufen am 03.10.2024). Die wirtschaftliche Ungleichheit ist sehr ausgeprägt und die Armutsrate unterscheidet sich in den verschie- denen Regionen stark. Im (…), woher der Gesuchsteller ursprünglich stammt, ist die Armutsrate doppelt so hoch wie im nationalen Durchschnitt (worldbankgroup: bridging the gap: inequality and jobs in Thailand «https://documents1.worldbank.org/curated/en/099112823133018003/ pdf/P17759905901d70ed0a968052455d5252f0.pdf»,«https://www.dfat.go v.au/sites/default/files/country-information-report-thailand.pdf» abgerufen am 07.10.2024).</w:t>
      </w:r>
    </w:p>
    <w:p>
      <w:r>
        <w:rPr>
          <w:b/>
        </w:rPr>
        <w:t>E. 5.3</w:t>
      </w:r>
    </w:p>
    <w:p>
      <w:r>
        <w:t>In Anbetracht dieser Umstände ist nicht zu beanstanden, dass die Vor- instanz das Risiko einer nicht fristgerechten Wiederausreise von Besu- chern aus Thailand grundsätzlich als erheblich einschätzt.</w:t>
      </w:r>
    </w:p>
    <w:p>
      <w:r>
        <w:rPr>
          <w:b/>
        </w:rPr>
        <w:t>E. 5.4</w:t>
      </w:r>
    </w:p>
    <w:p>
      <w:r>
        <w:t>Bei der Risikoanalyse sind allerdings nicht nur solch allgemeine Um- stände und Erfahrungen, sondern auch sämtliche Gesichtspunkte des kon- kreten Einzelfalls zu berücksichtigen. Obliegt einer gesuchstellenden</w:t>
      </w:r>
    </w:p>
    <w:p>
      <w:r>
        <w:t>F-1000/2024 Seite 7 Person im Heimatland beispielsweise eine besondere berufliche, gesell- schaftliche oder familiäre Verantwortung, kann dieser Umstand die Prog- nose für eine anstandslose Wiederausreise begünstigen. Bei Personen, die in ihrer Heimat keine besonderen Verpflichtungen haben, muss das Ri- siko eines ausländerrechtlich nicht regelkonformen Verhaltens nach einer bewilligten Einreise demgegenüber als hoch eingeschätzt werden.</w:t>
      </w:r>
    </w:p>
    <w:p>
      <w:r>
        <w:rPr>
          <w:b/>
        </w:rPr>
        <w:t>E. 6.1</w:t>
      </w:r>
    </w:p>
    <w:p>
      <w:r>
        <w:t>Beim Gesuchsteller handelt es sich um einen (…)-jährigen, ledigen und kinderlosen Mann. Er lebe und arbeite im Grossraum D._______ im Fami- lienunternehmen seiner Freundin. Er besuche mehrmals im Jahr im (…) Thailands, seiner Herkunftsregion, seine verbliebenen Familienangehöri- gen (Grossmutter, Onkel, Cousins und Cousinen), kümmere sich dort um ein Haus, welches ihm zusammen mit seinem in der Schweiz wohnhaften Halbbruder und seiner Mutter gehöre. Er erwirtschafte ein für thailändische Verhältnisse durchschnittliches Einkommen und werde finanziell von sei- ner Mutter und dem Beschwerdeführer aus der Schweiz unterstützt. In der Beschwerde wird geltend gemacht, Thailand sei ein friedliches Land und eher als Einwanderungs- denn als Auswanderungsland bekannt. Für den Gesuchsteller gebe es keinen Grund, nicht wieder zurückzukehren. Insbe- sondere wolle er auch keine negativen Konsequenzen für seine Mutter ris- kieren. Zwar habe seine Mutter einen Antrag auf Familiennachzug gestellt, es sei aber auch zum damaligen Zeitpunkt keinesfalls sicher gewesen, dass er in der Schweiz verbleiben möchte. Zudem sei zu erwähnen, dass auch seine Mutter bei ihrem ersten Besuch in der Schweiz anstandslos wieder ausgereist sei.</w:t>
      </w:r>
    </w:p>
    <w:p>
      <w:r>
        <w:rPr>
          <w:b/>
        </w:rPr>
        <w:t>E. 6.2</w:t>
      </w:r>
    </w:p>
    <w:p>
      <w:r>
        <w:t>In der Schweiz leben der Halbbruder des Gesuchstellers, seine Mutter und deren Ehemann. Damit verfügt er hier offensichtlich über ein familiäres Beziehungsnetz. Die Tatsache, dass er nach seiner Reise an seinen Ar- beitsplatz zurückkehren könnte, vermag keine Gewähr für eine Rückkehr ins Heimatland zu bieten. Auch das Haus in Thailand geht bei einer Emig- ration nicht verloren. Besondere berufliche oder soziale Verpflichtungen im Sinne der Rechtsprechung liegen nicht vor und das Emigrationsrisiko des Gesuchstellers ist als erhöht zu beurteilen (vgl. statt vieler Urteile des BVGer F-4403/2023 vom 21. März 2024 E. 7.3, F-4659/2023 vom 19. Ja- nuar 2024 E. 7.5.1). Zu berücksichtigen ist in diesem Kontext auch, dass der Gesuchsteller kurz vor Einreichung des Antrags auf Erteilung eines Schengen-Visums die kantonalen Behörden um Familiennachzug er- suchte. Die kantonalen Behörden bewilligten diesen nicht und verneinten überdies das Vorliegen eines Härtefalls. Daran zeigt sich, dass er einen</w:t>
      </w:r>
    </w:p>
    <w:p>
      <w:r>
        <w:t>F-1000/2024 Seite 8 dauerhaften Verbleib in der Schweiz in Erwägung zog. Die Wiederausreise des Gesuchstellers ist vor diesem Hintergrund eindeutig nicht gesichert, zumal ein Schengen-Visum zu Besuchszwecken nicht dazu dienen darf, die Voraussetzungen eines ausländerrechtlichen Familiennachzugsverfah- rens zu umgehen (vgl. Urteil des BVGer F-858/2024 vom 11. September 2024 E. 5.6 m.H.).</w:t>
      </w:r>
    </w:p>
    <w:p>
      <w:r>
        <w:rPr>
          <w:b/>
        </w:rPr>
        <w:t>E. 6.3</w:t>
      </w:r>
    </w:p>
    <w:p>
      <w:r>
        <w:t>Am unbescholtenen, regelkonformen Verhalten des Beschwerdefüh- rers und dessen Ehefrau wird nicht gezweifelt. Aber auch die Wiederaus- reise der Mutter bei ihrem früheren Besuch und ihre sowie die Zusicherun- gen des Beschwerdeführers vermögen an der Einschätzung nichts zu än- dern. Bei der Risikobeurteilung ist in erster Linie das mögliche Verhalten der Gäste selbst von Bedeutung. Gastgeber und Garanten können mit rechtlich verbindlicher Wirkung zwar für gewisse finanzielle Risiken im Zu- sammenhang mit einem Besuchsaufenthalt, nicht aber für ein bestimmtes Tun oder Unterlassen ihrer Gäste einstehen (vgl. in diesem Zusammen- hang auch BVGE 2009/27 E. 9).</w:t>
      </w:r>
    </w:p>
    <w:p>
      <w:r>
        <w:rPr>
          <w:b/>
        </w:rPr>
        <w:t>E. 7</w:t>
      </w:r>
    </w:p>
    <w:p>
      <w:r>
        <w:t>Die Vorinstanz ging vor diesem Hintergrund zu Recht davon aus, die frist- gerechte Wiederausreise des Gesuchstellers sei nicht hinreichend gesi- chert. Die Voraussetzungen für die Erteilung eines Visums sind damit nicht erfüllt.</w:t>
      </w:r>
    </w:p>
    <w:p>
      <w:r>
        <w:rPr>
          <w:b/>
        </w:rPr>
        <w:t>E. 8</w:t>
      </w:r>
    </w:p>
    <w:p>
      <w:r>
        <w:t>Die angefochtene Verfügung ist somit im Lichte von Art. 49 VwVG nicht zu beanstanden und die Beschwerde ist abzuweisen.</w:t>
      </w:r>
    </w:p>
    <w:p>
      <w:r>
        <w:rPr>
          <w:b/>
        </w:rPr>
        <w:t>E. 9</w:t>
      </w:r>
    </w:p>
    <w:p>
      <w:r>
        <w:t>Bei diesem Ausgang des Verfahrens sind die Kosten, die sich vorliegend auf Fr. 800.– belaufen, dem Beschwerdeführer aufzuerlegen (vgl. Art. 63 Abs. 1 VwVG i.V.m. Art. 1 ff. des Reglements vom 21. Februar 2008 über die Kosten und Entschädigungen vor dem Bundesverwaltungsgericht [VGKE, SR 173.320.2]). Sie sind durch den am 4. März 2024 in gleicher Höhe geleisteten Kostenvorschuss gedeckt.</w:t>
      </w:r>
    </w:p>
    <w:p>
      <w:r>
        <w:t>(Dispositiv nächste Seite)</w:t>
      </w:r>
    </w:p>
    <w:p>
      <w:r>
        <w:t>F-1000/2024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