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E-9/2023 vom 16. Januar 2023</w:t>
      </w:r>
    </w:p>
    <w:p>
      <w:r>
        <w:t>Bundesverwaltungsgericht, 2023-01-16, FR</w:t>
      </w:r>
    </w:p>
    <w:p>
      <w:r>
        <w:rPr>
          <w:b/>
        </w:rPr>
        <w:t xml:space="preserve">Quelle: </w:t>
      </w:r>
      <w:r>
        <w:t>https://mcp.opencaselaw.ch/entscheid/bvger_E-9_2023</w:t>
      </w:r>
    </w:p>
    <w:p>
      <w:r>
        <w:t>FR: TAF E-9/2023 du 16 janvier 2023</w:t>
      </w:r>
    </w:p>
    <w:p>
      <w:r>
        <w:t>IT: TAF E-9/2023 del 16 gennaio 2023</w:t>
      </w:r>
    </w:p>
    <w:p>
      <w:pPr>
        <w:pStyle w:val="Heading2"/>
      </w:pPr>
      <w:r>
        <w:t>Regeste</w:t>
      </w:r>
    </w:p>
    <w:p>
      <w:r>
        <w:t>Asile et renvoi (procédure accélérée)</w:t>
      </w:r>
    </w:p>
    <w:p>
      <w:pPr>
        <w:pStyle w:val="Heading2"/>
      </w:pPr>
      <w:r>
        <w:t>Erwägungen</w:t>
      </w:r>
    </w:p>
    <w:p>
      <w:r>
        <w:rPr>
          <w:b/>
        </w:rPr>
        <w:t>E. 30</w:t>
      </w:r>
    </w:p>
    <w:p>
      <w:r>
        <w:t>novembre 2022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de cette mesure est ordonnée si elle est licite, raisonnablement exigible et possible (art. 83 al. 1 à 4 LEI), qu’in casu, l'exécution du renvoi ne contrevient pas au principe de non- refoulement de l'art. 5 LAsi, le recourant ne s’étant pas vu reconnaître la qualité de réfugié (cf. supra),</w:t>
      </w:r>
    </w:p>
    <w:p>
      <w:r>
        <w:t>E-9/2023 Page 7 que, pour les mêmes motifs que ceux évoqués précédemment, il n’a pas non plus rendu crédible qu’il existerait pour lui un véritable risque concret et sérieux d'être victime, en cas de retour en Algérie, de traitements inhumains ou dégradants (art. 3 CEDH et art. 3 de la Convention du 10 décembre 1984 contre la torture et autres peines ou traitements cruels, inhumains ou dégradants [Conv. torture, RS 0.105]), que, pour rappel, la crainte d’actes de représailles de la part de tiers ne revêt un caractère déterminant pour la qualité de réfugié et a fortiori en matière d’exécution du renvoi que si l’Etat n’accorde pas la protection nécessaire, que le recourant ne s’étant, en l’occurrence, jamais adressé aux autorités compétentes algériennes aux sujets des menaces proférées par l’oncle de son épouse depuis la Tunisie, il n’a pas épuisé toutes les possibilités de protection dans son pays d’origine et ne peut dès lors pas solliciter la protection d’un autre Etat (cf. notamment sur ce sujet l’ATAF 2013/5 consid. 5.1 ; 2011/51 consid. 6.1 ; 2010/41 consid. 6.5.1), que rien ne permet en outre de retenir que l’Algérie ne disposerait pas de moyens suffisants et de structures accessibles pour lutter contre de telles menaces, si celles-ci devaient s’avérer encore actuelles à son retour, que l'exécution du renvoi s'avère donc licite (art. 83 al. 3 de la loi fédérale sur les étrangers et l’intégration [LEI, RS 142.20] ; ATAF 2014/28 consid. 11), qu'elle est également raisonnablement exigible (art. 83 al. 4 LEI ; cf. ATAF 2011/50 consid. 8.1 à 8.3 et jurisp. cit.), dans la mesure où elle ne fait pas apparaître, en l'espèce, une mise en danger concrète du recourant, qu'en effet, l’Algérie ne se trouve pas en proie à une guerre, une guerre civile ou une situation de violence généralisée, qu’en ce qui concerne le recourant lui-même, le Tribunal ne peut que se rallier aux constatations du SEM s’agissant de sa situation personnelle, de ses compétences, de son aptitude à travailler pour subvenir à ses besoins et du soutien qu’il peut escompter à son retour chez lui, que l'exécution du renvoi est enfin possible (art. 83 al. 2 LEI ; cf. ATAF 2008/34 consid. 12 et jurisp. cit.), le recourant disposant d’un passeport valable et étant tenu de collaborer à l'obtention de documents</w:t>
      </w:r>
    </w:p>
    <w:p>
      <w:r>
        <w:t>E-9/2023 Page 8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renoncé à un échange d'écritures, le présent arrêt n'étant motivé que sommairement (art. 111a al. 1 et 2 LAsi), qu’il est immédiatement statué sur le fond, de sorte que la demande d'exemption du versement d'une avance des frais de procédure devient sans objet, que les conclusions du recours étant d'emblée vouées à l'échec au vu de ce qui précède, les demandes de dispense de paiement des frais de procédure et de nomination d’un mandataire d’office sont rejetées, l’une des conditions cumulatives à leur octroi n’étant pas remplie (art. 65 al. 1 PA et art. 102m al. 1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E-9/2023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