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E-996/2023 vom 19. Januar 2023</w:t>
      </w:r>
    </w:p>
    <w:p>
      <w:r>
        <w:t>Bundesverwaltungsgericht, 2023-01-19, DE</w:t>
      </w:r>
    </w:p>
    <w:p>
      <w:r>
        <w:rPr>
          <w:b/>
        </w:rPr>
        <w:t xml:space="preserve">Quelle: </w:t>
      </w:r>
      <w:r>
        <w:t>https://mcp.opencaselaw.ch/entscheid/bvger_E-996_2023_d20230119</w:t>
      </w:r>
    </w:p>
    <w:p>
      <w:r>
        <w:t>FR: TAF E-996/2023 du 19 janvier 2023</w:t>
      </w:r>
    </w:p>
    <w:p>
      <w:r>
        <w:t>IT: TAF E-996/2023 del 19 gennaio 2023</w:t>
      </w:r>
    </w:p>
    <w:p>
      <w:pPr>
        <w:pStyle w:val="Heading2"/>
      </w:pPr>
      <w:r>
        <w:t>Regeste</w:t>
      </w:r>
    </w:p>
    <w:p>
      <w:r>
        <w:t>Asyl und Wegweisung (Mehrfachgesuch) | Asyl und Wegweisung (Mehrfachgesuch); Verfügung des SEM vom 19.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ist legitimiert; auf seine frist- und formgerecht eingereichte Beschwerde ist – mit nachfolgendem Vorbehalt – einzutreten</w:t>
      </w:r>
    </w:p>
    <w:p>
      <w:r>
        <w:t>E-996/2023 Seite 9 (Art. 105 und 108 Abs. 3 AsylG; Art. 37 VGG i.V.m. Art. 48 Abs. 1 und Art. 52 Abs. 1 VwVG).</w:t>
      </w:r>
    </w:p>
    <w:p>
      <w:r>
        <w:rPr>
          <w:b/>
        </w:rPr>
        <w:t>E. 1.4</w:t>
      </w:r>
    </w:p>
    <w:p>
      <w:r>
        <w:t>Da der Beschwerde bereits von Gesetzes wegen aufschiebende Wir- kung zukommt, ist auf den Antrag um Erteilung der aufschiebenden Wir- kung nicht einzutreten.</w:t>
      </w:r>
    </w:p>
    <w:p>
      <w:r>
        <w:rPr>
          <w:b/>
        </w:rPr>
        <w:t>E. 1.5</w:t>
      </w:r>
    </w:p>
    <w:p>
      <w:r>
        <w:t>Einen Beizug der Verfahrensakten des (…) F._______, der (…) des Kantons F._______ und des (…) des Kantons F._______ ist angesichts der klaren Aktenlage und der Tatsache, dass eine fortgeschrittene Integration bei der Beurteilung des Wegweisungsvollzugs ohne Belang ist, nicht erfor- derlich.</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die Durchführung eines Schriftenwechsels verzichtet. Über offensichtlich unbegründete Beschwerden wird in einzelrichterlicher Zuständigkeit mit Zustimmung eines zweiten Richters beziehungsweise ei- ner zweiten Richterin entschieden (Art. 111 Bst. e AsylG). Wie nachstehend aufgezeigt, handelt es sich vorliegend um eine solche, weshalb der Be- schwerdeentscheid nur summarisch zu begründen ist (Art. 111a Abs.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E-996/2023 Seite 10</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Einschätzung des SEM vermag zu überzeugen und ist zu bestäti- gen. Zur Vermeidung von Wiederholungen kann auf die vorinstanzlichen Erwägungen verwiesen werden, welche durch die Argumentation in der Beschwerde, welche sich in einer Wiederholung der bereits im vorinstanz- lichen Verfahren geltend gemachten Vorbringen, allgemeinen Ausführun- gen und blossen Behauptungen erschöpft, nicht in Frage gestellt werden.</w:t>
      </w:r>
    </w:p>
    <w:p>
      <w:r>
        <w:rPr>
          <w:b/>
        </w:rPr>
        <w:t>E. 4.2</w:t>
      </w:r>
    </w:p>
    <w:p>
      <w:r>
        <w:t>Zusammenfassend ist mit dem SEM festzuhalten, dass der Beschwer- deführer keine Gründe vorbringt, welche eine Verfolgungssituation des Be- schwerdeführers zur Folge haben könnten. Dies gilt sowohl für die geltend gemachte Tatsache der Zugehörigkeit zur muslimischen Minderheit als auch für die befürchteten Behelligungen durch Drittpersonen aufgrund der Scheidung von seiner ehemaligen Ehefrau, sowie des angeblichen Identi- tätswechsels mit seinem Bruder.</w:t>
      </w:r>
    </w:p>
    <w:p>
      <w:r>
        <w:rPr>
          <w:b/>
        </w:rPr>
        <w:t>E. 4.3</w:t>
      </w:r>
    </w:p>
    <w:p>
      <w:r>
        <w:t>Das SEM hat somit zu Recht die Flüchtlingseigenschaft verneint und das Asylgesuch des Beschwerdeführers abgelehnt.</w:t>
      </w:r>
    </w:p>
    <w:p>
      <w:r>
        <w:rPr>
          <w:b/>
        </w:rPr>
        <w:t>E. 5</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Nach Art. 83 Abs. 3 AIG ist der Vollzug nicht zulässig, wenn völkerrecht- liche Verpflichtungen der Schweiz einer Weiterreise der Ausländerin oder</w:t>
      </w:r>
    </w:p>
    <w:p>
      <w:r>
        <w:t>E-996/2023 Seite 11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 führungen noch aus den Akten ergeben sich konkrete Anhaltspunkte dafür, dass der Beschwerdeführer für den Fall einer Ausschaffung nach Sri Lanka dort mit beachtlicher Wahrscheinlichkeit einer nach EMRK oder FoK ver- botenen Strafe oder Behandlung ausgesetzt wäre. So weist der Beschwer- 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 gingen oder dass ihm persönlich im Falle einer Rückkehr eine Gefährdung drohen könnte. Der Vollzug der Wegweisung ist zulässig.</w:t>
      </w:r>
    </w:p>
    <w:p>
      <w:r>
        <w:rPr>
          <w:b/>
        </w:rPr>
        <w:t>E. 6.3</w:t>
      </w:r>
    </w:p>
    <w:p>
      <w:r>
        <w:t>Nach Art. 83 Abs. 4 AIG kann der Vollzug für Ausländerinnen und Aus- länder unzumutbar sein, wenn sie im Heimat- oder Herkunftsstaat auf Grund von Situationen wie Krieg, Bürgerkrieg, allgemeiner Gewalt und me- dizinischer Notlage konkret gefährdet sind. Hinsichtlich der Zumutbarkeit des Wegweisungsvollzugs kann vollumfäng- lich auf die entsprechenden Erwägungen in der angefochtenen Verfügung verwiesen werden. Darin wurde einlässlich dargelegt, weshalb der Vollzug der Wegweisung in Bezug auf den Beschwerdeführer nach Sri Lanka auch in Berücksichtigung der eingereichten ärztlichen Zeugnisse und der darin</w:t>
      </w:r>
    </w:p>
    <w:p>
      <w:r>
        <w:t>E-996/2023 Seite 12 diagnostizierten psychischen Schwierigkeiten zumutbar ist. An dieser Ein- schätzung vermögen auch die politischen Entwicklungen in Sri Lanka seit dem letzten Urteil beziehungsweise die diesbezüglichen Ausführungen im Mehrfachgesuch vom 1. Dezember 2022 nichts zu ändern.</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ergibt sich, dass das SEM den Wegweisungsvoll- zug zu Recht als zulässig, zumutbar und möglich bezeichnet hat. Die An- ordnung der vorläufigen Aufnahme fällt damit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Die Beschwerde hat sich als von vornherein aussichtslos erwiesen. Die mit der Beschwerdeschrift gestellten Gesuche um Gewährung der unent- geltlichen Prozessführung und der amtlichen Rechtsverbeiständung sind daher abzuweisen.</w:t>
      </w:r>
    </w:p>
    <w:p>
      <w:r>
        <w:rPr>
          <w:b/>
        </w:rPr>
        <w:t>E. 8.2</w:t>
      </w:r>
    </w:p>
    <w:p>
      <w:r>
        <w:t>Als Folge der Abweisung der Beschwerde sind die Kosten des Verfah- rens somit den Beschwerdeführerinnen aufzuerlegen (Art. 63 Abs. 1 und 5 VwVG). Die Kosten sind auf Fr. 1’500.– festzusetzen (Art. 1–3 des Regle- ments vom 21. Februar 2008 über die Kosten und Entschädigungen vor dem Bundesverwaltungsgericht [VGKE, SR 173.320.2] i.V.m. Art. 16 Abs. 1 Bst. a VGG).</w:t>
      </w:r>
    </w:p>
    <w:p>
      <w:r>
        <w:t>(Dispositiv nächste Seite)</w:t>
      </w:r>
    </w:p>
    <w:p>
      <w:r>
        <w:t>E-996/2023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