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E-994/2025 vom 27. März 2026</w:t>
      </w:r>
    </w:p>
    <w:p>
      <w:r>
        <w:t>Bundesverwaltungsgericht, 2026-03-27, DE</w:t>
      </w:r>
    </w:p>
    <w:p>
      <w:r>
        <w:rPr>
          <w:b/>
        </w:rPr>
        <w:t xml:space="preserve">Quelle: </w:t>
      </w:r>
      <w:r>
        <w:t>https://mcp.opencaselaw.ch/entscheid/bvger_E-994_2025</w:t>
      </w:r>
    </w:p>
    <w:p>
      <w:r>
        <w:t>FR: TAF E-994/2025 du 27 mars 2026</w:t>
      </w:r>
    </w:p>
    <w:p>
      <w:r>
        <w:t>IT: TAF E-994/2025 del 27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w:t>
      </w:r>
    </w:p>
    <w:p>
      <w:r>
        <w:rPr>
          <w:b/>
        </w:rPr>
        <w:t>E. 1.4</w:t>
      </w:r>
    </w:p>
    <w:p>
      <w:r>
        <w:t>Die an eine falsche respektive veraltete Adresse der Beschwerdeführenden (Aathal-Seegräben) per Einschreiben zugestellte Verfügung vom 26. November 2024 wurde am 29. November 2024 auf der Poststelle von einer Person entgegengenommen, deren persönliche Verbindung zu den Beschwerdeführenden nicht eruiert werden kann. Die seinerzeitige Rechtsvertretung hatte am 3. Juni 2024 ihr Mandat niedergelegt. Es ist daher davon auszugehen, dass die Beschwerdeführenden erst durch die am 14. Januar 2025 erfolgte Weiterleitung durch die kommunale Sozialberatung an die aktuelle Adresse (Wetzikon) vollumfängliche Kenntnis von der angefochtenen Verfügung - diese war der Rechtsmitteleingabe vom 14. Februar 2025 beigelegt - erlangten. Weshalb die ursprüngliche (Fürsorge-) Adresse der Beschwerdeführenden im Zentralen Migrationsinformationssystem (ZEMIS) nicht korrekt erfasst worden sein soll und ob Art. 12 Abs. 1 AsylG Anwendung hätte finden können, kann in Anbetracht des Verfahrensausgangs offenbleiben. Die Beschwerde ist somit als frist- und formgerecht eingereicht zu betrachten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das kürzlich ergangene Grundsatzurteil des Bundesverwaltungsgerichts D-4601/2025 vom 9. Februar 2026 (zur Publikation als Grundsatzurteil vorgesehen) offensichtlich unbegründet geworden ist. Das Urteil ist daher nur summarisch zu begründen (Art. 72 i.V.m. Art. 111a Abs. 2 AsylG).</w:t>
      </w:r>
    </w:p>
    <w:p>
      <w:r>
        <w:rPr>
          <w:b/>
        </w:rPr>
        <w:t>E. 4</w:t>
      </w:r>
    </w:p>
    <w:p>
      <w:r>
        <w:t>Nachdem die Beschwerdeführenden aufgrund der Weiterleitung von der angefochtenen Verfügung (uneingeschränkt) Kenntnis nehmen konnten, auf die vorliegende Beschwerde eingetreten wird sowie ein Schriftenwechsel (inklusive Gewährung des Replikrechts) durchgeführt und den nunmehr vertretenen Beschwerdeführenden Akteneinsicht in das vorliegende Beschwerdedossier gewährt wurde, ist eine Benachteiligung der Beschwerdeführenden durch die mangelhafte Verfügungseröffnung (vgl. oben E. 1.4) zu verneinen (vgl. Art. 38 VwVG; BGE 133 I 201 E. 2.1; 122 I 97 E. 3a/aa; Urteil des BGer 2C_332/2024 vom 21. Juli 2025 E. 4.3.2; Urteil des BVGer F-2428/2021 vom 8. November 2021 E. 2.2; Felix Uhlmann/Alexandra Schilling-Schwank, in: Praxiskommentar Verwaltungsverfahrensgesetz, 3. Aufl. 2023, Art. 38 N 11 m.w.H.). Der Antrag auf Aufhebung und Neuzustellung der angefochtenen Verfügung an die aktuelle Adresse ist daher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Die Beschwerdeführenden sind ukrainische Staatsangehörige und haben vor dem 24. Februar 2022 in der Ukraine gelebt. Sie gehören damit der Personenkategorie gemäss Ziff. I Bst. a der Allgemeinverfügung des Bundesrates zur Gewährung des vorübergehenden Schutzes im Zusammenhang mit der Situation in der Ukraine (in der hier noch anwendbaren Fassung vom 11. März 2022 [BBI 2022 586], vgl. Übergangsbestimmungen der am 1. November 2025 in Kraft getretenen Allgemeinverfügung vom 8. Oktober 2025 [BBl 2025 3074]) an.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(Subsidiaritätsprinzip). Die Voraussetzungen für die Annahme einer valablen Schutzalternative in einem Drittstaat beziehungsweise wie hier in einem EU-/EFTA-Mitgliedsstaat wurden sodann im Grundsatzurteil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E. 6.3).</w:t>
      </w:r>
    </w:p>
    <w:p>
      <w:r>
        <w:rPr>
          <w:b/>
        </w:rPr>
        <w:t>E. 6.1</w:t>
      </w:r>
    </w:p>
    <w:p>
      <w:r>
        <w:t>Die Beschwerdeführenden hielten sich den Akten zufolge mindestens seit dem 29. April 2022 in Polen auf (Ausstellungsdatum polnisches Dokument «Powiadomienie o nadaniu numeru PESEL») und verfügten über einen polnischen Schutzstatus für Geflüchtete aus der Ukraine.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Grundsatzurteil D-4601/2025 vom 9. Februar 2026 E. 6.2.2). Damit besteht ein hinreichender Anknüpfungspunkt in Polen.</w:t>
      </w:r>
    </w:p>
    <w:p>
      <w:r>
        <w:rPr>
          <w:b/>
        </w:rPr>
        <w:t>E. 6.2</w:t>
      </w:r>
    </w:p>
    <w:p>
      <w:r>
        <w:t>Vorliegend ist zwar davon auszugehen, dass die Beschwerdeführenden aktuell über keinen gültigen polnischen Schutztitel respektive eine darauf basierende Aufenthaltsbewilligung (mehr) verfügen.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Polen ihren abgelaufenen Schutzstatus reaktivieren oder zumindest erneut erfolgreich um Schutz ersuchen können (vgl. dazu auch &lt; https://ukraina.interwencjaprawna.pl/consequences-of-leaving-poland-for-more-than-1-month-ukr-status/ &gt;, abgerufen am 17.03.2026https://www.germany4ukraine.de/DE/einreise-aufenthalt-und-rueckkehr/rueckkehr-ukraine/seite_node.html#:~:text=Was%20bedeutet%20das%20f%C3%BCr%20Ukrainerinnen,in%20die%20Ukraine%20wieder%20zur%C3%BCckzunehmen).</w:t>
      </w:r>
    </w:p>
    <w:p>
      <w:r>
        <w:rPr>
          <w:b/>
        </w:rPr>
        <w:t>E. 6.3</w:t>
      </w:r>
    </w:p>
    <w:p>
      <w:r>
        <w:t>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Grundsatzurteil D-4601/2025 vom 9. Februar 2026 E. 6.2.3). Demnach besteht kein Grund zur Annahme, dass sich die (erfolglose) Antragsstellung in der Schweiz bei einer erneuten Schutzsuche in Polen für die Beschwerdeführenden nachteilig auswirken wird (vgl. zu diesem Thema auch das EuGH-Urteil vom 27. Februar 2025 in der Sache C-753/23 [Krasiliva]). Insgesamt kann demnach mit hinreichender Gewissheit festgestellt werden, dass Polen den Beschwerdeführenden im Falle ihrer Rückkehr dorthin erneut vorübergehenden Schutz gewähren und ihnen einen entsprechenden Aufenthaltstitel ausstellen wird.</w:t>
      </w:r>
    </w:p>
    <w:p>
      <w:r>
        <w:rPr>
          <w:b/>
        </w:rPr>
        <w:t>E. 6.4</w:t>
      </w:r>
    </w:p>
    <w:p>
      <w:r>
        <w:t>Als Inhaber von gültigen ukrainischen Reisepässen können die Beschwerdeführenden visumsfrei in den Schengenraum ein- und zwischen den Schengen-Staaten reisen. Somit können sie ohne weiteres selbständig von der Schweiz nach Polen zurückkehren beziehungsweise legal in Polen einreisen.</w:t>
      </w:r>
    </w:p>
    <w:p>
      <w:r>
        <w:rPr>
          <w:b/>
        </w:rPr>
        <w:t>E. 6.5</w:t>
      </w:r>
    </w:p>
    <w:p>
      <w:r>
        <w:t>Das SEM hat demnach zutreffend festgestellt, dass die Beschwerdeführenden in Polen über eine valable Schutzalternative verfügen und damit nicht auf den Schutz der Schweiz angewiesen sind. Das SEM hat das Gesuch der Beschwerdeführenden um vorübergehende Schutzgewährung somit zu Recht abgewiesen.</w:t>
      </w:r>
    </w:p>
    <w:p>
      <w:r>
        <w:rPr>
          <w:b/>
        </w:rPr>
        <w:t>E. 7</w:t>
      </w:r>
    </w:p>
    <w:p>
      <w:r>
        <w:t>Die Beschwerdeführenden verfügen in der Schweiz weder über eine ausländerrechtliche Aufenthaltsbewilligung noch über einen Anspruch auf Erteilung einer solchen. Die Wegweisung wurde demnach zu Recht angeordnet (vgl. Art. 69 Abs. 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w:t>
      </w:r>
    </w:p>
    <w:p>
      <w:r>
        <w:rPr>
          <w:b/>
        </w:rPr>
        <w:t>E. 8.2</w:t>
      </w:r>
    </w:p>
    <w:p>
      <w:r>
        <w:t>Die Beschwerdeführenden haben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des Übereinkommens vom 10. Dezember 1984 gegen Folter und andere grausame, unmenschliche oder erniedrigende Behandlung oder Strafe (FoK, SR 0.105) verbotenen Strafe oder Behandlung ausgesetzt wären. Polen ist Signatarstaat der EMRK, der FoK und des Abkommens über die Rechtsstellung der Flüchtlinge (FK, SR 0.142.30) sowie des Zusatzprotokolls der FK vom 31. Januar 1967 (SR 0.142.301) und kommt seinen diesbezüglichen völkerrechtlichen Verpflichtungen grundsätzlich nach. Die Beschwerdeführenden haben denn auch nichts Gegenteiliges dargetan. Der - bei ausbleibender freiwilliger Ausreise allenfalls zukünftig erforderliche - Vollzug der Wegweisung nach Polen ist daher gemäss Art. 83 Abs. 3 AIG als zulässig zu erachten.</w:t>
      </w:r>
    </w:p>
    <w:p>
      <w:r>
        <w:rPr>
          <w:b/>
        </w:rPr>
        <w:t>E. 8.3</w:t>
      </w:r>
    </w:p>
    <w:p>
      <w:r>
        <w:t>Hinsichtlich der Frage der Zumutbarkeit des Wegweisungsvollzugs ist vorab auf Art. 83 Abs. 5 AIG i.V.m. dem Anhang 2 der Verordnung vom 11. August 1999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wie von ihnen befürchtet, bei einer Rückkehr nach Polen dort in eine medizinische oder finanzielle Notlage geraten werden. Polen ist sodann Signatarstaat des Übereinkommens vom 20. November 1989 über die Rechte des Kindes (sog. Kinderrechtskonvention, KRK; SR 0.107) und die Beschwerdeführenden halten sich erst seit rund zwei Jahren in der Schweiz auf. Vorliegend ist nicht ersichtlich, inwiefern durch eine Rückkehr nach Polen das Kindeswohl tangiert sein sollte. Ungeachtet dessen, dass die Beschwerdeführenden in der Schweiz über Bezugspersonen (volljährige Schwester beziehungsweise Tochter) verfügen, ist der Vollzug der Wegweisung nach Polen somit als zumutbar zu erachten (vgl. angefochtene Verfügung Ziff. III/2).</w:t>
      </w:r>
    </w:p>
    <w:p>
      <w:r>
        <w:rPr>
          <w:b/>
        </w:rPr>
        <w:t>E. 8.4</w:t>
      </w:r>
    </w:p>
    <w:p>
      <w:r>
        <w:t>Die Möglichkeit einer freiwilligen Rückkehr in den Heimat- oder Herkunftsstaat beziehungsweise in einen Drittstaat steht der Feststellung, der Vollzug der Wegweisung erweise sich als unmöglich, von vornherein entgegen (vgl. Grundsatzurteil D-4601/2025 vom 9. Februar 2026 E. 8.4.2 m.w.H.). Wie bereits vorstehend festgehalten (vgl. E. 6.4), können die Beschwerdeführenden als Inhaber gültiger ukrainischer Reisepässe ohne weiteres in Polen einreisen. Für eine Feststellung der Unmöglichkeit des Vollzugs der Wegweisung gemäss Art. 83 Abs. 2 AIG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den Beschwerdeführenden aufzuerlegen (Art. 63 Abs. 1 VwVG). Da ihnen mit Verfügung vom 26. September 2025 die unentgeltliche Rechtspflege gewährt wurde - die Rechtsbegehren waren zum massgeblichen (Gesuchs-) Zeitpunkt nicht aussichtslos - und den Akten keine Anhaltspunkte für eine relevante Veränderung ihrer finanziellen Lage zu entnehmen sind, sind keine Verfahrenskosten aufzuerlegen.</w:t>
      </w:r>
    </w:p>
    <w:p>
      <w:r>
        <w:rPr>
          <w:b/>
        </w:rPr>
        <w:t>E. 10.2</w:t>
      </w:r>
    </w:p>
    <w:p>
      <w:r>
        <w:t>Mit derselben Verfügung wurde das Gesuch um amtliche Verbeiständung gutgeheissen und den Beschwerdeführenden MLaw Sienong Gampatshang als amtlicher Rechtsbeistand beigeordnet. Der Rechtsvertreter hat nach seiner Einsetzung keine Eingabe zur Sache zu den Akten gereicht; mithin ist davon auszugehen, dass ihm abgesehen vom Akteneinsichtsgesuch keine Kosten entstanden sind. Nachdem gemäss Art. 7 Abs. 4 des Reglements vom 21. Februar 2008 über die Kosten und Entschädigungen vor dem Bundesverwaltungsgericht [VGKE, SR 173.320.2]) verhältnismässig geringe Kosten nicht zu entschädigen sind, ist bei der vorliegenden Sachlage von einem amtlichen Honorar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