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E-993/2014 vom 11. März 2014</w:t>
      </w:r>
    </w:p>
    <w:p>
      <w:r>
        <w:t>Bundesverwaltungsgericht, 2014-03-11, FR</w:t>
      </w:r>
    </w:p>
    <w:p>
      <w:r>
        <w:rPr>
          <w:b/>
        </w:rPr>
        <w:t xml:space="preserve">Quelle: </w:t>
      </w:r>
      <w:r>
        <w:t>https://mcp.opencaselaw.ch/entscheid/bvger_E-993_2014</w:t>
      </w:r>
    </w:p>
    <w:p>
      <w:r>
        <w:t>FR: TAF E-993/2014 du 11 mars 2014</w:t>
      </w:r>
    </w:p>
    <w:p>
      <w:r>
        <w:t>IT: TAF E-993/2014 del 11 marzo 2014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mesures provisionnelles du 27 février 2014 suspendant l'exécution du renvoi de la recourante prennent fin.</w:t>
      </w:r>
    </w:p>
    <w:p>
      <w:r>
        <w:rPr>
          <w:b/>
        </w:rPr>
        <w:t>E. 3</w:t>
      </w:r>
    </w:p>
    <w:p>
      <w:r>
        <w:t>La demande d'octroi d'effet suspensif devient sans objet.</w:t>
      </w:r>
    </w:p>
    <w:p>
      <w:r>
        <w:rPr>
          <w:b/>
        </w:rPr>
        <w:t>E. 4</w:t>
      </w:r>
    </w:p>
    <w:p>
      <w:r>
        <w:t>Les frais de procédure, d'un montant de 600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5</w:t>
      </w:r>
    </w:p>
    <w:p>
      <w:r>
        <w:t>Le présent arrêt est adressé à la mandataire de la recourante, à l'ODM et à l'autorité cantonale compétente. Le président du collège : La greffière : Jean-Pierre Monnet Anne-Laure Sautaux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