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E-992/2024 vom 1. März 2024</w:t>
      </w:r>
    </w:p>
    <w:p>
      <w:r>
        <w:t>Bundesverwaltungsgericht, 2024-03-01, DE</w:t>
      </w:r>
    </w:p>
    <w:p>
      <w:r>
        <w:rPr>
          <w:b/>
        </w:rPr>
        <w:t xml:space="preserve">Quelle: </w:t>
      </w:r>
      <w:r>
        <w:t>https://mcp.opencaselaw.ch/entscheid/bvger_E-992_2024</w:t>
      </w:r>
    </w:p>
    <w:p>
      <w:r>
        <w:t>FR: TAF E-992/2024 du 1 mars 2024</w:t>
      </w:r>
    </w:p>
    <w:p>
      <w:r>
        <w:t>IT: TAF E-992/2024 del 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2.1</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nachfolgenden Erwägung - einzutreten.</w:t>
      </w:r>
    </w:p>
    <w:p>
      <w:r>
        <w:rPr>
          <w:b/>
        </w:rPr>
        <w:t>E. 2.2</w:t>
      </w:r>
    </w:p>
    <w:p>
      <w:r>
        <w:t>Die Beschwerde richtet sich sowohl gegen den Nichteintretensentscheid gemäss Art. 31a Abs. 1 Bst. b AsylG als auch gegen die ZEMIS-Eintragung betreffend das Geburtsdatum des Beschwerdeführers. Praxisgemäss wird das Beschwerdeverfahren betreffend ZEMIS-Datenbereinigung (in casu unter der Geschäftsnummer E-1252/2024) neben dem vorliegenden Asyl-Beschwerdeverfahren (E-992/2024) separat geführt (vgl. BVGE 2018 VI/3). Es werden separate Urteile erlassen. Der Prozessgegenstand des vorliegenden Beschwerdeverfahrens ist daher auf die Frage des Nichteintretens auf das Asylgesuch des Beschwerdeführers sowie die angeordnete Wegweisung in den zuständigen Dublin-Staat Kroatien beschränkt. Mit der Feststellung in Ziffer 4 des Dispositivs, der zuständige Kanton C._______ werde mit dem Vollzug der Wegweisung beauftragt, hat die Vorinstanz keine Kantonszuweisung vorgenommen. Insoweit liegt kein entsprechender Streitgegenstand vor, mithin ist auf das Rechtsbegehen, der Beschwerdeführer sei dem Kanton B._______ zuzuweisen,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rügt in formeller Hinsicht, der Sachverhalt sei in Bezug auf das Kindswohl seines minderjährigen Bruders nicht rechtsgenüglich erstellt worden. Die Vorinstanz hätte abklären müssen, ob ein geschütztes Beziehungsverhältnis vorliege. Ferner sei die Begründungspflicht verletzt, da sich die Vorinstanz in unzureichender Weise mit den Auswirkungen der Wegweisung des Beschwerdeführers auf das Kindswohl auseinandergesetzt habe (vgl. Beschwerde S. 9 f.).</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Sachverhaltsfeststellung ist unvollständig, wenn nicht alle für den Entscheid rechtsrelevanten Sachumstände berücksichtigt wurden. Die Begründung muss so abgefasst sein, dass sie eine sachgerechte Anfechtung ermöglicht. Nicht erforderlich ist dagegen, dass sich die Begründung mit allen Parteistandpunkten einlässlich auseinandersetzt und jedes einzelne Vorbringen ausdrücklich widerlegt (vgl. BGE 143 III 65 E. 5.2).</w:t>
      </w:r>
    </w:p>
    <w:p>
      <w:r>
        <w:rPr>
          <w:b/>
        </w:rPr>
        <w:t>E. 5.3</w:t>
      </w:r>
    </w:p>
    <w:p>
      <w:r>
        <w:t>Die Vorinstanz hat sich mit einem allfälligen Abhängigkeitsverhältnis zwischen dem Beschwerdeführer und seinem Bruder auseinandergesetzt und hat dazu dessen Dossier beigezogen. Auf dieser Grundlage ist sie zum Schluss gekommen, dass kein über die normalen affektiven Bindungen hinausgehendes Abhängigkeitsverhältnis erkennbar sei (vgl. angefochtene Verfügung S. 8 ff.). Zusätzliche Abklärungen waren mangels Hinweisen aus den Akten nicht angezeigt. Eine Verletzung der Untersuchungspflicht liegt nicht vor. Weiter lässt sich alleine aus dem Umstand, dass die Vor-instanz bei der Würdigung des Sachverhalts zu einem anderen Schluss gelangt, als vom Beschwerdeführer erhofft, keine Verletzung der Begründungspflicht ableiten.</w:t>
      </w:r>
    </w:p>
    <w:p>
      <w:r>
        <w:rPr>
          <w:b/>
        </w:rPr>
        <w:t>E. 5.4</w:t>
      </w:r>
    </w:p>
    <w:p>
      <w:r>
        <w:t>Die formellen Rügen erweisen sich mithin als unbegründet. Es besteht keine Veranlassung, die angefochtene Verfügung aufzuheben und die Sache an die Vorinstanz zurückzuweisen. Das entsprechende Eventualbegehren ist abzuweisen.</w:t>
      </w:r>
    </w:p>
    <w:p>
      <w:r>
        <w:rPr>
          <w:b/>
        </w:rPr>
        <w:t>E. 5.5</w:t>
      </w:r>
    </w:p>
    <w:p>
      <w:r>
        <w:t>Im Übrigen geht das Gericht auch zum aktuellen Zeitpunkt davon aus, dass der Sachverhalt als erstellt zu erachten ist. Es besteht damit auch für das Gericht keine Veranlassung, weitere Abklärungen zu treffen. Daran vermag auch die Eingabe vom 26. Februar 2024 (insbesondere der Bericht der [...] vom 1. November 2023 und das in Aussicht gestellte Schreiben über die Beziehung der Brüder) nichts zu ändern.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BVGE 2019 VI/7 E. 4-6, 2017 VI/5 E. 6.2 und 8.2.1 m.H.).</w:t>
      </w:r>
    </w:p>
    <w:p>
      <w:r>
        <w:rPr>
          <w:b/>
        </w:rPr>
        <w:t>E. 6.3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hier - im Falle der Weiterreise eines Antragstellers in einen anderen Mitgliedstaat bei noch nicht abgeschlossenem Zuständigkeitsverfahren Anwendung (vgl. Filzwieser/Sprung, Dublin-III-Verordnung, 2014, K19 zu Art. 20).</w:t>
      </w:r>
    </w:p>
    <w:p>
      <w:r>
        <w:rPr>
          <w:b/>
        </w:rPr>
        <w:t>E. 6.4</w:t>
      </w:r>
    </w:p>
    <w:p>
      <w:r>
        <w:t>Im Falle einer unbegleiteten minderjährigen Person ohne familiäre Anknüpfungspunkte (zu einem anderen Mitgliedstaat) ist gemäss Art. 8 Abs. 4 Dublin-III-VO der Staat zuständig, in welchem jene einen Antrag auf internationalen Schutz gestellt hat. Unbegleitete Minderjährige sind vom Wiederaufnahmeverfahren ausgenommen (vgl. Filzwieser/Sprung, a.a.O., K15 f. zu Art. 8).</w:t>
      </w:r>
    </w:p>
    <w:p>
      <w:r>
        <w:rPr>
          <w:b/>
        </w:rPr>
        <w:t>E. 7.1</w:t>
      </w:r>
    </w:p>
    <w:p>
      <w:r>
        <w:t>Ein Abgleich der Fingerabdrücke des Beschwerdeführers mit der "Eurodac"-Datenbank ergab, dass dieser am (...) in Kroatien ein Asylgesuch eingereicht hatte. Die Vorinstanz ersuchte deshalb die kroatischen Behörden um Wiederaufnahme des Beschwerdeführers. Nachdem diese dem Ersuchen um Wiederaufnahme nach der Remonstration der Vorinstanz zugestimmt haben, ist die Zuständigkeit Kroatiens zur Durchführung des Asylverfahrens somit grundsätzlich gegeben.</w:t>
      </w:r>
    </w:p>
    <w:p>
      <w:r>
        <w:rPr>
          <w:b/>
        </w:rPr>
        <w:t>E. 7.2</w:t>
      </w:r>
    </w:p>
    <w:p>
      <w:r>
        <w:t>Der Beschwerdeführer macht geltend, er sei minderjährig, mithin bestehe eine der grundsätzlichen Wiederaufnahmezuständigkeit Kroatiens vorrangige Zuständigkeit der Schweiz.</w:t>
      </w:r>
    </w:p>
    <w:p>
      <w:r>
        <w:rPr>
          <w:b/>
        </w:rPr>
        <w:t>E. 7.3</w:t>
      </w:r>
    </w:p>
    <w:p>
      <w:r>
        <w:t>In der angefochtenen Verfügung führte die Vorinstanz zur geltend gemachten Minderjährigkeit des Beschwerdeführers aus, dass mit dem erstellten rechtsmedizinischen Gutachten ein starkes Indiz für seine Volljährigkeit vorliege (vgl. angefochtene Verfügung S. 4). Zudem basiere dieses auf mehreren Einzeluntersuchungen, weshalb die Aussagekraft erhöht sei (vgl. angefochtene Verfügung S. 4 f.). Des Weiteren hege die Vorinstanz erhebliche Zweifel an den vom Beschwerdeführer gemachten Angaben zu seinem Geburtsdatum, da dieses in Kroatien mit dem (...) erfasst worden sei. Sein Vorbringen in der EB UMA, er habe in Kroatien dasselbe Geburtsdatum wie in der Schweiz angegeben, woraufhin das Formular verrissen und der (...) erfasst worden sei, könne nicht nachvollzogen werden (vgl. angefochtene Verfügung S. 5). Auch seien die Zeitangaben betreffend Schulbildung und Ausreise nicht behilflich, da sich diese nicht durch konkrete Zeitangaben bestätigen liessen (vgl. angefochtene Verfügung S. 5). Schliesslich hält die Vorinstanz fest, der Beschwerdeführer habe kein Identitätsdokument eingereicht (vgl. angefochtene Verfügung S. 5). So könne in einer Gesamtwürdigung aller Indizien festgehalten werden, dass die Aussagen des Beschwerdeführers vage und unglaubhaft ausgefallen seien. Es sei ihm nicht gelungen, die angebliche Minderjährigkeit mit rechtsgenüglichen Identitätspapieren zu belegen. Daran vermöge auch die Vorlage einer Tazkira im Original nichts zu ändern. Ferner sei er in Kroatien als volljährig erfasst worden. Die Vorinstanz komme daher zum Schluss, dass er seine angebliche Minderjährigkeit nicht glaubhaft zu begründen vermochte und er im weiteren Verlauf des Verfahrens als volljährige Person zu behandeln sein werde (vgl. angefochtene Verfügung S. 5 f.).</w:t>
      </w:r>
    </w:p>
    <w:p>
      <w:r>
        <w:rPr>
          <w:b/>
        </w:rPr>
        <w:t>E. 7.4</w:t>
      </w:r>
    </w:p>
    <w:p>
      <w:r>
        <w:t>Der Beschwerdeführer entgegnet dem auf Beschwerdeebene, dass der Umstand, dass das angegebene Geburtsdatum in Kroatien den Angaben in der Schweiz widerspreche, nicht zur Unglaubhaftigkeit der Altersangaben führen würde. Zudem gehe aus dem Altersgutachten hervor, dass die Handknochenanalyse ein Mindestalter von (...) Jahren ergeben habe und auch die zahnärztliche Untersuchung spreche für die Minderjährigkeit, da bei dieser ein Mineralisationsstadium von G vorliegen würde. Ohnehin würden die Feststellungen der Vorinstanz darauf hindeuten, dass sämtliche Bemühungen die Minderjährigkeit glaubhaft zu machen, ohnehin nicht berücksichtigt werden würden.</w:t>
      </w:r>
    </w:p>
    <w:p>
      <w:r>
        <w:rPr>
          <w:b/>
        </w:rPr>
        <w:t>E. 7.5</w:t>
      </w:r>
    </w:p>
    <w:p>
      <w:r>
        <w:t>Das Bundesverwaltungsgericht gelangt nach Prüfung der Akten in Übereinstimmung mit der Vorinstanz zum Schluss, dass es dem Beschwerdeführer nicht gelungen ist, die von ihm geltend gemachte Minderjährigkeit glaubhaft zu machen. Zur Vermeidung von Wiederholungen kann daher auf die entsprechenden Ausführungen in der angefochtenen Verfügung verwiesen werden (vgl. angefochtene Verfügung S. 4 ff.). Es ist diesbezüglich anzumerken, dass sich das vorliegende Altersgutachten als schlüssig und widerspruchsfrei erweist. Das Gutachten stützt sich auf das aktuelle Methodendokument der Schweizerischen Gesellschaft für Rechtsmedizin (vgl. Schweizerische Gesellschaft für Rechtsmedizin [SGRM], Sektion Medizin, Arbeitsgruppe Qualitätsmanagement in der Forensischen Medizin, Forensische Altersdiagnostik, Methodendokument Version 02, Ausgabe Juni 2022 [https://sgrm.ch/inhalte/Forensische-Medizin/AG_QM_FAD_MD_V02_08-06-2022.pdf], abgerufen am 27. Februar 2024). Gemäss diesem Methodendokument ist im Asylverfahren das Mindestalterprinzip anzuwenden, da Berechnungen von Mittelwerten angesichts der aktuellen Datenlage die Anforderungen an den geforderten Beweismassstab nicht erfüllen können. Bei der Anwendung mehrerer Säulen ist das höchste Mindestalter anzugeben (vgl. SGRM, Forensische Altersdiagnostik, 2022, S. 4 ff. und Urteil des BVGer E-887/2024 vom 16. Februar 2024 E. 7.3 m.w.H.). Beim Beschwerdeführer wurde bei der Hand ein Mindestalter von (...) Jahren ermittelt. Zudem wurde eine computertomographische Untersuchung der Schlüsselbein-Brustbeingelenke durchgeführt und zusätzlich eine zahnärztliche Untersuchung vorgenommen. Für Letztere konnte kein Mindestalter ausgewiesen werden. Demgegenüber wies die Schlüsselbeinanalyse für die Wachstumsfugen der inneren Schlüsselbeinanteile ein Stadium 3c auf, was dem angegeben Mindestalter von (...) Jahren entspricht (vgl. SEM-eAkten 23/7). Mithin lag das höchste Mindestalter in den Säulen bei (...) Jahren. Das Gutachten stellt demzufolge bereits ein sehr starkes Indiz für die Volljährigkeit des Beschwerdeführers dar (vgl. Urteil E-887/2024 E. 7.3 m.w.H.). Sodann ergeben sich weder aus der Beschwerde noch aus den Akten Anhaltspunkte, welche geeignet sind, die Erkenntnisse des Gutachtens zur Altersabklärung und insbesondere dessen Verwendbarkeit und Eignung in Frage zu stellen. Dem Beschwerdeführer ist es daher im Asylverfahren nicht gelungen, seine behauptete Minderjährigkeit glaubhaft zu machen.</w:t>
      </w:r>
    </w:p>
    <w:p>
      <w:r>
        <w:rPr>
          <w:b/>
        </w:rPr>
        <w:t>E. 7.6</w:t>
      </w:r>
    </w:p>
    <w:p>
      <w:r>
        <w:t>Nachdem die Minderjährigkeit des Beschwerdeführers im Zeitpunkt der Einreichung des Asylgesuchs in der Schweiz nicht glaubhaft gemacht worden ist, fällt Art. 8 Abs. 4 Dublin-III-VO nicht als Kriterium zur Bestimmung des für sein Asylverfahren zuständigen Mitgliedstaats in Betracht.</w:t>
      </w:r>
    </w:p>
    <w:p>
      <w:r>
        <w:rPr>
          <w:b/>
        </w:rPr>
        <w:t>E. 8.1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8.2</w:t>
      </w:r>
    </w:p>
    <w:p>
      <w:r>
        <w:t>Gemäss Praxis des Bundesverwaltungsgerichts sind zum heutigen Zeitpunkt systemische Schwachstellen im Sinne von Art. 3 Abs. 2 zweiter und dritter Satz Dublin-III-VO in Bezug auf Kroatien zu verneinen (vgl. dazu das Referenzurteil des BVGer E-1488/2020 vom 22. März 2023, welches die seit dem Referenzurteil D-1611/2016 vom 22. März 2016 bestehende Praxis bestätigt, wonach Dublin-Überstellungen nach Kroatien grundsätzlich zulässig sind).</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9.2.1</w:t>
      </w:r>
    </w:p>
    <w:p>
      <w:r>
        <w:t>Der Beschwerdeführer macht ein Abhängigkeitsverhältnis im Sinne von Art. 16 Abs. 1 respektive Art. 17 Abs. 1 Dublin-III-VO i.V.m. Art. 8 beziehungsweise Art. 3 EMRK zwischen ihm und seinem in der Schweiz vorläufig aufgenommenen jüngeren Bruder geltend und leitet daraus eine Zuständigkeit der Schweiz ab (vgl. Beschwerde S. 4 ff.).</w:t>
      </w:r>
    </w:p>
    <w:p>
      <w:r>
        <w:rPr>
          <w:b/>
        </w:rPr>
        <w:t>E. 9.2.2</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Filzwieser/Sprung, a.a.O., K3 zu Art. 16 und Urteil des BVGer E-1105/2023 vom 18. April 2023 E. 8.3.2).</w:t>
      </w:r>
    </w:p>
    <w:p>
      <w:r>
        <w:rPr>
          <w:b/>
        </w:rPr>
        <w:t>E. 9.2.3</w:t>
      </w:r>
    </w:p>
    <w:p>
      <w:r>
        <w:t>In Übereinstimmung mit der Vorinstanz ist festzustellen, dass kein rechtlich relevantes Abhängigkeitsverhältnis vorliegt. Es liegen keine Hinweise vor, dass der Bruder zur Bewältigung seines alltäglichen Lebens in sozialer, wirtschaftlicher oder gesundheitlicher Hinsicht in gewichtigem Masse vom Beschwerdeführer abhängig wäre. Auch nicht ergeben sich solche aus der erst mit der Beschwerdeeingabe vom 15. Februar 2024 ins Recht gelegten Stellungnahme des Psychologen des Bruders vom 8. Februar 2024 und dem Schreiben der Beiständin des Bruders vom 8. Februar 2024. Ebenso wenig vermag die Eingabe vom 26. Februar 2024 diesbezüglich Stichhaltiges vorzubringen. Das Gericht verkennt nicht, dass der Beschwerdeführer eine wichtige Unterstützung für seinen Bruder sein könnte. Dies reicht indes für die Bejahung eines Abhängigkeitsverhältnisses im Sinne des Art. 16 Abs. 1 Dublin-III-VO nicht aus. Sodann vermag der Beschwerdeführer unter den geltend gemachten Umständen keine Ansprüche aus Art. 8 EMRK abzuleiten (vgl. Urteile des BVGer D-493/2024 vom 2. Februar 2024 E. 7.2.4; E-1105/2023 E. 8.3.3). Ebenso geht der Hinweis auf Art. 3 KRK und das Kindswohl des Bruders fehl und vermag nichts zu bewirken. Diese behördliche Pflicht ist insbesondere dort von Relevanz, wo Kinder von einem Wegweisungsvollzug betroffen sind (vgl. E-1105/2023 E. 8.3.4).</w:t>
      </w:r>
    </w:p>
    <w:p>
      <w:r>
        <w:rPr>
          <w:b/>
        </w:rPr>
        <w:t>E. 9.3</w:t>
      </w:r>
    </w:p>
    <w:p>
      <w:r>
        <w:t>Auch über Art. 8 EMRK hinaus besteht kein konkretes und ernsthaftes Risiko, dass die Überstellung des Beschwerdeführers nach Kroatien die Verletzung völkerrechtlicher Bestimmungen zur Folge hätte. Diesbezüglich kann zur Vermeidung von Wiederholungen vollumfänglich auf die zutreffenden Ausführungen in der angefochtenen Verfügung verwiesen werden (vgl. angefochtene Verfügung S. 6 ff.). Gemäss Praxis des Bundesverwaltungsgerichts verfügt die Vorinstanz sodann bei der Anwendung von Art. 29a Abs. 3 AsylV 1 über einen Ermessensspielraum (vgl. BVGE 2015/9 E. 7 f.). Vorliegend hat das SEM die individuellen Vorbringen des Beschwerdeführers im Zusammenhang mit humanitären Gründen ausreichend berücksichtigt, weshalb keine Ermessensunterschreitung vorliegt. Die angefochtene Verfügung ist daher auch unter diesem Blickwinkel nicht zu beanstanden.</w:t>
      </w:r>
    </w:p>
    <w:p>
      <w:r>
        <w:rPr>
          <w:b/>
        </w:rPr>
        <w:t>E. 9.4</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10</w:t>
      </w:r>
    </w:p>
    <w:p>
      <w:r>
        <w:t>Die Vorinstanz ist angesichts der vorstehenden Erwägungen zu Recht nicht auf das Asylgesuch des Beschwerdeführers eingetreten und hat seine Überstellung nach Kroatien verfügt (vgl. Art. 31a Abs. 1 Bst. b und Art. 44 AsylG). Die Beschwerde ist abzuweisen, soweit darauf einzutreten ist.</w:t>
      </w:r>
    </w:p>
    <w:p>
      <w:r>
        <w:rPr>
          <w:b/>
        </w:rPr>
        <w:t>E. 11.1</w:t>
      </w:r>
    </w:p>
    <w:p>
      <w:r>
        <w:t>Der am 19. Februar 2024 verfügte Vollzugsstopp fällt mit dem vorliegenden Urteil dahin.</w:t>
      </w:r>
    </w:p>
    <w:p>
      <w:r>
        <w:rPr>
          <w:b/>
        </w:rPr>
        <w:t>E. 11.2</w:t>
      </w:r>
    </w:p>
    <w:p>
      <w:r>
        <w:t>Mit dem Entscheid in der Hauptsache sind die Gesuche um Erteilung der aufschiebenden Wirkung und um Verzicht auf die Erhebung eines Kostenvorschusses gegenstandslos geworden.</w:t>
      </w:r>
    </w:p>
    <w:p>
      <w:r>
        <w:rPr>
          <w:b/>
        </w:rPr>
        <w:t>E. 11.3</w:t>
      </w:r>
    </w:p>
    <w:p>
      <w:r>
        <w:t>Das Gesuch um Gewährung der unentgeltlichen Prozessführung ist abzuweisen, da die Begehren als aussichtslos zu bezeichnen waren, weshalb die Voraussetzungen von Art. 65 Abs. 1 VwVG nicht erfüllt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