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E-991/2010 vom 25. Februar 2010</w:t>
      </w:r>
    </w:p>
    <w:p>
      <w:r>
        <w:t>Bundesverwaltungsgericht, 2010-02-25, FR</w:t>
      </w:r>
    </w:p>
    <w:p>
      <w:r>
        <w:rPr>
          <w:b/>
        </w:rPr>
        <w:t xml:space="preserve">Quelle: </w:t>
      </w:r>
      <w:r>
        <w:t>https://mcp.opencaselaw.ch/entscheid/bvger_E-991_2010</w:t>
      </w:r>
    </w:p>
    <w:p>
      <w:r>
        <w:t>FR: TAF E-991/2010 du 25 février 2010</w:t>
      </w:r>
    </w:p>
    <w:p>
      <w:r>
        <w:t>IT: TAF E-991/2010 del 25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2</w:t>
      </w:r>
    </w:p>
    <w:p>
      <w:r>
        <w:t>La conclusion du recours tendant à la cassation ne peut être admise. En effet, la jurisprudence a certes admis (cf. Jurisprudence et informations de la Commission suisse de recours en matière d'asile [JICRA] 1994 n° 13 consid. 3b p. 113-116) que l'autorité est tenue de confronter le requérant aux contradictions de ses dires et de lui donner l'occasion de s'expliquer à ce sujet, mais uniquement dans le but d'une élucidation aussi complète que possible des faits ; cette faculté offerte au justiciable ne découlant pas du droit d'être entendu, il ne peut en déduire un droit spécifique, dont la violation permettrait la cassation de la décision rendue. Si cassation il devait y avoir, elle ne pouvait qu'être la conséquence d'une instruction insuffisante, et non d'une violation du droit d'être entendu. En l'espèce, tel n'est pas le cas, aucun manquement aux règles de procédure ne pouvant être reproché à l'autorité de première instance. En outre, l'autorité n'est tenue de confronter le requérant qu'à des déclarations manifestement incompatibles entre elles, qui peuvent résulter d'une erreur commise par la personne entendue, et que la bonne fois impose de lui signaler. Dans le cas particulier, toutefois, les dires du recourant ne comportent pas de contradictions évidentes, mais, comme on le verra plus bas, se caractérisent par des imprécisions, une confusion et une incohérence qui empêchent d'y ajouter foi ; l'autorité n'avait donc aucune obligation d'attirer l'attention de l'intéressé sur ces points, dans la mesure où ils ne faisaient que manifester l'inanité de son récit.</w:t>
      </w:r>
    </w:p>
    <w:p>
      <w:r>
        <w:rPr>
          <w:b/>
        </w:rPr>
        <w:t>E. 3.1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4.1</w:t>
      </w:r>
    </w:p>
    <w:p>
      <w:r>
        <w:t>En l'espèce, la première condition posée par l'art. 32 al. 2 let. e LAsi est remplie, dès lors que le recourant a déjà fait l'objet d'une procédure d'asile en Suisse qui s'est terminée par une décision négative, suivie d'un retour dans son pays d'origine.</w:t>
      </w:r>
    </w:p>
    <w:p>
      <w:r>
        <w:rPr>
          <w:b/>
        </w:rPr>
        <w:t>E. 4.2</w:t>
      </w:r>
    </w:p>
    <w:p>
      <w:r>
        <w:t>Par ailleurs, l'examen du dossier montre que le recourant n'a pas rendu crédible la survenance de faits nouveaux, intervenus depuis la clôture de la précédente procédure et propres à motiver la qualité de réfugié. En effet, son récit se caractérise globalement par son caractère vague et décousu qui rend le déroulement des faits difficile à saisir ; la chronologie manque de clarté, et les circonstances du prétendu raid policier du 18 mars 2007 sont rapportées de manière confuse. A cela s'ajoute que l'intéressé n'a produit aucune preuve ou indice de la réalité de ces événements qui auraient logiquement dû connaître un important retentissement, puisqu'ils auraient impliqué une centaine de policiers et se seraient soldés par un affrontement armé faisant trois morts, alors que la situation en Macédoine s'était apaisée depuis plusieurs années ; le recourant n'a d'ailleurs pas même donné le nom de ses proches prétendument interpellés ce jour-là. Les faits décrits sont donc douteux, ce d'autant plus qu'on comprend mal comment la police aurait été avertie de son retour et aurait pu, sans délai, mettre sur pied une opération d'une telle envergure. Enfin, le comportement du recourant est incompatible avec celui d'une personne menacée de persécution, qui requiert dès que possible la protection de l'Etat où elle entend trouver refuge : l'intéressé a passé deux ans et demi en Suisse avant de déposer sa demande, et ne s'y est décidé que devant l'échec de ses projets de mariage. Par ailleurs, il a entrepris une procédure de divorce en Macédoine, au risque de se signaler à l'attention des autorités, et a demandé à la police une attestation de non-poursuite, cela pour des raisons obscures ; il n'a pas craint non plus de rejoindre Thessalonique via C._______ (cf. première audition, p. 6 ; seconde audition, question 88), traversant ainsi tout le territoire macédonien.</w:t>
      </w:r>
    </w:p>
    <w:p>
      <w:r>
        <w:rPr>
          <w:b/>
        </w:rPr>
        <w:t>E. 4.3</w:t>
      </w:r>
    </w:p>
    <w:p>
      <w:r>
        <w:t>Au vu de ce qui précède, la décision de non-entrée en matière prise par l'ODM en application de l'art. 32 al. 2 let. e LAsi doit être confirmée et le recours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5.3</w:t>
      </w:r>
    </w:p>
    <w:p>
      <w:r>
        <w:t>Elle est également raisonnablement exigible (cf. art. 83 al. 4 LEtr) vu l'absence de violence généralisée dans le pays d'origine du recourant, que le Conseil fédéral a reconnu comme sûr par décision du 25 juin 2003 (cf. art. 6a al. 2 let. a LAsi). De plus, l'intéressé n'a pas fait état de troubles de santé et dispose d'une expérience professionnelle.</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C'est donc également à bon droit que l'autorité de première instance a prononcé le renvoi du recourant et l'exécution de cette mesure.</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6.2</w:t>
      </w:r>
    </w:p>
    <w:p>
      <w:r>
        <w:t>Le recours étant rejeté au fond, la demande de dispense du versement de l'avance de frais est sans objet. Vu l'issue de la procédure, il y a donc lieu de mettre les frais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