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E-990/2023 vom 21. Februar 2023</w:t>
      </w:r>
    </w:p>
    <w:p>
      <w:r>
        <w:t>Bundesverwaltungsgericht, 2023-02-21, DE</w:t>
      </w:r>
    </w:p>
    <w:p>
      <w:r>
        <w:rPr>
          <w:b/>
        </w:rPr>
        <w:t xml:space="preserve">Quelle: </w:t>
      </w:r>
      <w:r>
        <w:t>https://mcp.opencaselaw.ch/entscheid/bvger_E-990_2023</w:t>
      </w:r>
    </w:p>
    <w:p>
      <w:r>
        <w:t>FR: TAF E-990/2023 du 21 février 2023</w:t>
      </w:r>
    </w:p>
    <w:p>
      <w:r>
        <w:t>IT: TAF E-990/2023 del 21 febbraio 2023</w:t>
      </w:r>
    </w:p>
    <w:p>
      <w:pPr>
        <w:pStyle w:val="Heading2"/>
      </w:pPr>
      <w:r>
        <w:t>Regeste</w:t>
      </w:r>
    </w:p>
    <w:p>
      <w:r>
        <w:t>Nichteintreten auf Asylgesuch und Wegweisung (Dublin-Verfahren - Art. 31a Abs. 1 Bst. b AsylG)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(Art. 108 Abs. 3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auf die Durchführung eines Schriftenwechsels verzichtet.</w:t>
      </w:r>
    </w:p>
    <w:p>
      <w:r>
        <w:rPr>
          <w:b/>
        </w:rPr>
        <w:t>E. 3.1</w:t>
      </w:r>
    </w:p>
    <w:p>
      <w:r>
        <w:t>Der Beschwerdeführer beantragt im Fliesstext eine erneute Prüfung seines Falles. Vorliegend handelt es sich um eine sogenannte Laienbeschwerde, da diese offensichtlich nicht von einer rechtskundigen Person verfasst wurde. Der besagte Antrag ist daher als formelle Rüge entgegenzunehmen, da der Beschwerdeführer nämlich sinngemäss geltend macht, sein Anspruch auf rechtliches Gehör sowie der Untersuchungsgrundsatz sei vorliegend verletzt, da er in der Schweiz kein «Interview» gehabt habe. Die sinngemässe formelle Rüge ist vorab zu beurteilen ist, da sie gegebenenfalls geeignet ist, eine Kassation der vorinstanzlichen Verfügung zu bewirken (vgl. BGE 138 I 232 E. 5).</w:t>
      </w:r>
    </w:p>
    <w:p>
      <w:r>
        <w:rPr>
          <w:b/>
        </w:rPr>
        <w:t>E. 3.2</w:t>
      </w:r>
    </w:p>
    <w:p>
      <w:r>
        <w:t>Dazu ist festzuhalten, dass es im Dublin-Verfahren nicht um die Abklärung der Asylgründe geht, sondern lediglich um die Frage, welcher Staat für die Durchführung des Asyl- und Wegweisungsverfahrens zuständig ist. Dementsprechend wird in Dublin-Verfahren keine Anhörung zu den Asylgründen im Sinne von Art. 29 AsylG durchgeführt. Folglich kann dem SEM im vorliegenden Fall keine unkorrekte Sachverhaltsfeststellung und Gehörsverletzung vorgeworfen werden. Die formelle Rüge erweist sich als unbegründet, das sinngemässe Kassationsbegehren ist abzuweisen.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Rahmen eines Wiederaufnahmeverfahrens (engl.: take back; Art. 23-25 Dublin-III-VO) findet grundsätzlich keine (erneute) Zuständigkeitsprüfung nach Kapitel III statt (vgl. zum Ganzen BVGE 2017 VI/5 E. 6.2 und 8.2.1 m.w.H.).</w:t>
      </w:r>
    </w:p>
    <w:p>
      <w:r>
        <w:rPr>
          <w:b/>
        </w:rPr>
        <w:t>E. 4.3</w:t>
      </w:r>
    </w:p>
    <w:p>
      <w:r>
        <w:t>Der nach Dublin-III-VO zuständige Mitgliedstaat ist verpflichtet, einen Drittstaatsangehörigen oder Staatenlosen, dessen Antrag abgelehnt wurde und der in einem anderen Mitgliedstaat einen Antrag gestellt hat oder der sich im Hoheitsgebiet eines anderen Mitgliedstaats ohne Aufenthaltstitel aufhält, nach Massgabe der Artikel 23, 24, 25 und 29 wieder aufzunehmen (Art. 18 Abs. 1 Bst. d Dublin-III-VO).</w:t>
      </w:r>
    </w:p>
    <w:p>
      <w:r>
        <w:rPr>
          <w:b/>
        </w:rPr>
        <w:t>E. 4.4</w:t>
      </w:r>
    </w:p>
    <w:p>
      <w:r>
        <w:t>Der Beschwerdeführer bestreitet nicht, in Frankreich ein Asylgesuch gestellt zu haben. Nachdem die französischen Behörden innert der in Art. 25 Abs. 1 Dublin-III-VO festgelegten Frist dem Wiederaufnahmegesuch des SEM zugestimmt haben, ist die Zuständigkeit Frankreichs grundsätzlich gegeben.</w:t>
      </w:r>
    </w:p>
    <w:p>
      <w:r>
        <w:rPr>
          <w:b/>
        </w:rPr>
        <w:t>E. 5</w:t>
      </w:r>
    </w:p>
    <w:p>
      <w:r>
        <w:t>Der Beschwerdeführer macht in seiner Beschwerde im Wesentlichen geltend, er sei ein Jahr in Frankreich gewesen, die französischen Behörden hätten ihn jedoch abgelehnt und ihn zurück nach Mali schicken wollen. Frankreich habe ihm keine Chance auf eine faire Zukunft gegeben und habe ihm nicht helfen wollen. In Mali herrsche seit über zehn Jahren Krieg und es gebe keine Menschenrechte.</w:t>
      </w:r>
    </w:p>
    <w:p>
      <w:r>
        <w:rPr>
          <w:b/>
        </w:rPr>
        <w:t>E. 6.1</w:t>
      </w:r>
    </w:p>
    <w:p>
      <w:r>
        <w:t>Erweist es sich als unmöglich, einen Antragsteller in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6.2</w:t>
      </w:r>
    </w:p>
    <w:p>
      <w:r>
        <w:t>Frankreich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es ist grundsätzlich davon auszugehen, dass es seinen entsprechenden völkerrechtlichen Verpflichtungen nachkommt. Es darf ausserdem davon ausgegangen werden, dass Frankreich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anerkennt und schützt. Gemäss Praxis des Bundesverwaltungsgerichts liegen zum heutigen Zeitpunkt keine Gründe für die Annahme vor, das Asylverfahren und die Aufnahmebedingungen für Antragstellende in Frankreich würden systemische Schwachstellen im Sinne von Art. 3 Abs. 2 Sätze 2 und 3 Dublin-III-VO aufweisen (vgl. dazu beispielsweise die Urteile des BVGer E-6054/2022 vom 4. Januar 2023 E. 5, E-3616/2022 vom 26. August 2022 E. 6.2, F-2963/2022 vom 19. Juli 2022 E. 6.2).</w:t>
      </w:r>
    </w:p>
    <w:p>
      <w:r>
        <w:rPr>
          <w:b/>
        </w:rPr>
        <w:t>E. 7.1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Dublin-III-VO). Dieses sogenannte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(BVGE 2015/9 E. 8.2.1).</w:t>
      </w:r>
    </w:p>
    <w:p>
      <w:r>
        <w:rPr>
          <w:b/>
        </w:rPr>
        <w:t>E. 7.2</w:t>
      </w:r>
    </w:p>
    <w:p>
      <w:r>
        <w:t>Der Beschwerdeführer hat weder im vorinstanzlichen Verfahren noch im Rechtsmittelverfahren ein konkretes und ernsthaftes Risiko dargetan, wonach seine Überstellung nach Frankreich die Verletzung völkerrechtlicher Bestimmungen zur Folge hätte. Insbesondere ist nicht davon auszugehen, dass die französischen Behörden den Beschwerdeführer in Zukunft unter Missachtung des Non-Refoulement-Prinzips zur Ausreise in ein Land zwingen, in dem sein Leib, sein Leben oder seine Freiheit aus einem Grund nach Art. 3 Abs. 1 AsylG gefährdet wäre. Daran ändert auch die pauschale Kritik des Beschwerdeführers am Asylverfahren in Frankreich nichts, wonach dort die Asylgesuche von Personen aus Mali nicht ernst genommen würden. Im Übrigen wäre es ihm zuzumuten (gewesen), sich in Frankreich gegen einen allfälligen negativen Asylentscheid auf dem Rechtsweg zur Wehr zu setzen.</w:t>
      </w:r>
    </w:p>
    <w:p>
      <w:r>
        <w:rPr>
          <w:b/>
        </w:rPr>
        <w:t>E. 7.3</w:t>
      </w:r>
    </w:p>
    <w:p>
      <w:r>
        <w:t>Nach dem Gesagten bestand kein Grund für eine Anwendung der Ermessensklauseln von Art. 17 Dublin-III-VO. Der Vollständigkeit halber ist festzuhalten, dass die Dublin-III-VO den Schutzsuchenden kein Recht einräumt, den ihren Antrag prüfenden Staat selber auszuwählen (vgl. auch BVGE 2010/45 E. 8.3).</w:t>
      </w:r>
    </w:p>
    <w:p>
      <w:r>
        <w:rPr>
          <w:b/>
        </w:rPr>
        <w:t>E. 8</w:t>
      </w:r>
    </w:p>
    <w:p>
      <w:r>
        <w:t>Somit bleibt Frankreich der für das weitere Verfahren des Beschwerde-führers zuständige Mitgliedstaat gemäss Dublin-III-VO. Frankreich ist verpflichtet, den Beschwerdeführer gemäss Art. 23, 24, 25 und 29 wieder aufzunehmen.</w:t>
      </w:r>
    </w:p>
    <w:p>
      <w:r>
        <w:rPr>
          <w:b/>
        </w:rPr>
        <w:t>E. 9</w:t>
      </w:r>
    </w:p>
    <w:p>
      <w:r>
        <w:t>Das SEM ist demnach zu Recht in Anwendung von Art. 31a Abs. 1 Bst. b AsylG auf das Asylgesuch des Beschwerdeführers nicht eingetreten und hat in Anwendung von Art. 44 AsylG seine Wegweisung angeordnet.</w:t>
      </w:r>
    </w:p>
    <w:p>
      <w:r>
        <w:rPr>
          <w:b/>
        </w:rPr>
        <w:t>E. 10.1</w:t>
      </w:r>
    </w:p>
    <w:p>
      <w:r>
        <w:t>Mit vorliegendem Urteil ist das Beschwerdeverfahren abgeschlossen. Die Anträge auf Erteilung der aufschiebenden Wirkung und Befreiung von der Kostenvorschusspflicht erweisen sich somit als gegenstandslos.</w:t>
      </w:r>
    </w:p>
    <w:p>
      <w:r>
        <w:rPr>
          <w:b/>
        </w:rPr>
        <w:t>E. 10.2</w:t>
      </w:r>
    </w:p>
    <w:p>
      <w:r>
        <w:t>Das mit der Beschwerde gestellte Gesuch um Gewährung der unentgeltlichen Prozessführung ist abzuweisen, da die Begehren des Beschwerdeführers - wie sich aus den vorstehenden Erwägungen ergibt - als aussichtlos zu bezeichnen waren, weshalb die Voraussetzungen von Art. 65 Abs. 1 VwVG nicht erfüllt sind.</w:t>
      </w:r>
    </w:p>
    <w:p>
      <w:r>
        <w:rPr>
          <w:b/>
        </w:rPr>
        <w:t>E. 10.3</w:t>
      </w:r>
    </w:p>
    <w:p>
      <w:r>
        <w:t>Bei diesem Ausgang des Verfahrens sind die Kosten von Fr. 750.-(Art. 1 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