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E-98/2018 vom 30. Juli 2018</w:t>
      </w:r>
    </w:p>
    <w:p>
      <w:r>
        <w:t>Bundesverwaltungsgericht, 2018-07-30, DE</w:t>
      </w:r>
    </w:p>
    <w:p>
      <w:r>
        <w:rPr>
          <w:b/>
        </w:rPr>
        <w:t xml:space="preserve">Quelle: </w:t>
      </w:r>
      <w:r>
        <w:t>https://mcp.opencaselaw.ch/entscheid/bvger_E-98_2018</w:t>
      </w:r>
    </w:p>
    <w:p>
      <w:r>
        <w:t>FR: TAF E-98/2018 du 30 juillet 2018</w:t>
      </w:r>
    </w:p>
    <w:p>
      <w:r>
        <w:t>IT: TAF E-98/2018 del 30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nur gegen die von der Vorinstanz verfügte Wegweisung beziehungsweise deren Vollzug. Damit ist die Verfügung des SEM vom 8. Dezember 2017, soweit sie die Verneinung der Flüchtlingseigenschaft und Verweigerung des Asyls betrifft (Dispositivziffern 1 und 2 der angefochtenen Verfügung) in Rechtskraft erwachsen.</w:t>
      </w:r>
    </w:p>
    <w:p>
      <w:r>
        <w:rPr>
          <w:b/>
        </w:rPr>
        <w:t>E. 4</w:t>
      </w:r>
    </w:p>
    <w:p>
      <w:r>
        <w:t>Die Beschwerde erweist sich als offensichtlich unbegründet und ist im Verfahren einzelrichterlicher Zuständigkeit mit Zustimmung eines zweiten Richters (Art. 111 Bst. e AsylG) und mit summarischer Begründung zu behandeln (Art. 111a Abs. 1 und 2 AsylG).Dass dem Beschwerdeführer die unentgeltliche Rechtspflege (Art. 65 Abs. 1 VwVG) gewährt wurde (vgl. oben, Bst. F),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5.2.1</w:t>
      </w:r>
    </w:p>
    <w:p>
      <w:r>
        <w:t>Der Beschwerdeführer ist der Auffassung, der Wegweisungsvollzug sei angesichts der drohenden Einziehung in den eritreischen Nationaldienst und einer damit verbundenen Verletzung von Art. 3 und Art. 4 Abs. 2 EMRK als unzulässig anzusehen. Es stehe fest, dass er das Land illegal im dienstpflichtigen Alter verlassen habe, weshalb bei einer Rückkehr von einer Inhaftierung und demzufolge von einer unmenschlichen Behandlung im Sinne von Art. 3 EMRK auszugehen sei. Sodann werde der Tatbestand der Zwangsarbeit im Art. 4 Abs. 2 EMRK nicht definiert, weshalb die Definition aus dem ILO-Übereinkommen Nr. 29 über Zwangs- oder Pflichtarbeit von 1929 als Grundlage für die Auslegung herangezogen werde. Gemäss Art. 2 Abs. 1 dieses Abkommens entspreche Zwangsarbeit jeder Art von "Arbeit oder Dienstleistung, die von einer Person unter Androhung irgendeiner Strafe verlangt werde und für die sie sich nicht freiwillig zur Verfügung gestellt habe." Die Rechtsprechung des Europäischen Gerichtshofes für Menschenrechte (EGMR) nenne noch ein drittes Kriterium, wonach die Arbeit "eine gewisse Härte vorweisen" müsse. Der Beschwerdeführer erachte die Voraussetzungen für die Annahme von Zwangsarbeit im Falle des Nationaldienstes, der den zivilen und auch den militärischen Teil umfasse, als erfüllt.</w:t>
      </w:r>
    </w:p>
    <w:p>
      <w:r>
        <w:rPr>
          <w:b/>
        </w:rPr>
        <w:t>E. 5.2.2</w:t>
      </w:r>
    </w:p>
    <w:p>
      <w:r>
        <w:t>Die Vorinstanz wiederholt in ihrer Vernehmlassung vom 17. Januar 2018 zum Teil ihre Erwägungen, wonach Art. 4 Abs. 3 Bst. b EMRK Dienstleistungen militärischer Art explizit ausklammere. Zwangsweiser Militärdienst falle demnach grundsätzlich nicht unter den Anwendungsbereich von Art. 4 EMRK. Angesichts des Profils des Beschwerdeführers könne nicht von einer tatsächlichen und unmittelbaren Gefahr einer Einberufung in den zivilen Teil des Nationaldienstes ausgegangen werden. Aus den Akten könne auch nicht auf ein "real risk", also eine konkrete Bedrohung geschlossen werden. Eine blosse Möglichkeit, bei einer Rückkehr zwecks Zuführung zu einem militärischen Training allenfalls in Haft genommen zu werden, reiche für die Annahme eines "real risk" nicht aus.</w:t>
      </w:r>
    </w:p>
    <w:p>
      <w:r>
        <w:rPr>
          <w:b/>
        </w:rPr>
        <w:t>E. 5.2.3</w:t>
      </w:r>
    </w:p>
    <w:p>
      <w:r>
        <w:t>Der Beschwerdeführer hält in seiner Replik vom 9. Februar 2018 an seiner Einschätzung einer völkerrechtlichen Gefährdung bei einem Wegweisungsvollzug fest.</w:t>
      </w:r>
    </w:p>
    <w:p>
      <w:r>
        <w:rPr>
          <w:b/>
        </w:rPr>
        <w:t>E. 5.3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5.4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Wie rechtskräftig festgestellt, ist es dem Beschwerdeführer nicht gelungen, eine asylrechtlich erhebliche Gefährdung nachzuweisen oder glaubhaft zu machen, weshalb der in Art. 5 AsylG verankerte Grundsatz der Nichtrückschiebung im vorliegenden Verfahren keine Anwendung finden kann. 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Das Gericht hat die Zulässigkeit des Wegweisungsvollzugs im genannten Urteil sowohl unter dem Gesichtspunkt des Zwangsarbeitsverbots (Art. 4 Abs. 2 EMRK; vgl. dazu nachfolgend, E. 5.4.2) als auch unter jenem des Verbots der Folter und der unmenschlichen und erniedrigenden Behandlung (Art. 3 EMRK; vgl. dazu nachfolgend, E. 5.4.3) geprüft.</w:t>
      </w:r>
    </w:p>
    <w:p>
      <w:r>
        <w:rPr>
          <w:b/>
        </w:rPr>
        <w:t>E. 5.4.1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5.4.2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aber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(vgl. zum Ganzen Urteil des BVGer E-5022/2017, a.a.O., E. 6.1.5.2).</w:t>
      </w:r>
    </w:p>
    <w:p>
      <w:r>
        <w:rPr>
          <w:b/>
        </w:rPr>
        <w:t>E. 5.4.3</w:t>
      </w:r>
    </w:p>
    <w:p>
      <w:r>
        <w:t>Gemäss Praxis des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5.4.4</w:t>
      </w:r>
    </w:p>
    <w:p>
      <w:r>
        <w:t>Weitere Gründe für die Annahme der Unzulässigkeit des Wegweisungsvollzugs ergeben sich weder aus den Akten noch aus der Beschwerdeschrift. Der Wegweisungsvollzug ist folglich als zulässig zu betrachten.</w:t>
      </w:r>
    </w:p>
    <w:p>
      <w:r>
        <w:rPr>
          <w:b/>
        </w:rPr>
        <w:t>E. 5.5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5.5.1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5.5.2</w:t>
      </w:r>
    </w:p>
    <w:p>
      <w:r>
        <w:t>Beim Beschwerdeführer handelt es sich um einen jungen und gesunden Mann. Besondere Umstände, aufgrund derer von einer Existenzbedrohung ausgegangen werden müsste - er kann weiterhin bei seinem Grossvater (...) betreiben - sind vorliegend keine ersichtlich. Nach dem Gesagten erweist sich der Vollzug der Wegweisung nicht als unzumutbar. Soweit in der Beschwerdeschrift vorgebracht wird, die allgemeine Situation in Eritrea mache den Wegweisungsvollzug unzumutbar, widerspricht er ohne substantiierte Begründung der aktuellen Länderpraxis der Vorinstanz und des Bundesverwaltungsgerichts.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5.6</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Die UN-Sicherheitsratsresolution 2023 vom 5. Dezember 2011 verurteilt im Übrigen nicht, wie vom Beschwerdeführer ausgeführt (vgl. Beschwerde Ziffer 5.2), die Erhebung der sogenannten Diaspora-Steuer an sich, sondern lediglich die mutmassliche Nutzung der durch die Steuer eingenommenen Mittel zur Destabilisierung der Region des Horns von Afrika (Art. 10) sowie die Eintreibung der Steuer mittels Erpressung, Gewaltandrohung oder anderen unerlaubten Mitteln (Art. 11). Die Erhebung der 2%-Steuer im Zusammenhang mit der Beschaffung von Reisedokumenten verstösst somit nicht zwangsläufig gegen die UN-Resolution. Der Vollzug der Wegweisung ist demnach als möglich zu bezeichnen (Art. 83 Abs. 2 AuG).</w:t>
      </w:r>
    </w:p>
    <w:p>
      <w:r>
        <w:rPr>
          <w:b/>
        </w:rPr>
        <w:t>E. 5.7</w:t>
      </w:r>
    </w:p>
    <w:p>
      <w:r>
        <w:t>Zusammenfassend hat die Vorinstanz den Wegweisungsvollzug zu Recht als zulässig, zumutbar und möglich bezeichnet. Eine Anordnung der vorläufigen Aufnahme fällt somit ausser Betracht (Art. 83 Abs. 1-4 AuG).</w:t>
      </w:r>
    </w:p>
    <w:p>
      <w:r>
        <w:rPr>
          <w:b/>
        </w:rPr>
        <w:t>E. 5.8</w:t>
      </w:r>
    </w:p>
    <w:p>
      <w:r>
        <w:t>Aus diesen Erwägungen ergibt sich, dass die angefochtene Verfügung Bundesrecht nicht verletzt, den rechtserheblichen Sachverhalt richtig sowie vollständig feststellt und angemessen ist. Die Beschwerde ist abzuweisen.</w:t>
      </w:r>
    </w:p>
    <w:p>
      <w:r>
        <w:rPr>
          <w:b/>
        </w:rPr>
        <w:t>E. 6.1</w:t>
      </w:r>
    </w:p>
    <w:p>
      <w:r>
        <w:t>Bei diesem Ausgang des Verfahrens wären die Kosten dem Beschwerdeführer aufzuerlegen (Art. 63 Abs. 1 VwVG). Das mit der Beschwerde gestellte Gesuch um Gewährung der unentgeltlichen Prozessführung wurde jedoch mit Zwischenverfügung vom 10. Januar 2018 gutgeheissen, weshalb keine Verfahrenskosten aufzuerlegen sind.</w:t>
      </w:r>
    </w:p>
    <w:p>
      <w:r>
        <w:rPr>
          <w:b/>
        </w:rPr>
        <w:t>E. 6.2</w:t>
      </w:r>
    </w:p>
    <w:p>
      <w:r>
        <w:t>Mit Zwischenverfügung vom 10. Januar 2018 wurde auch der Antrag auf amtliche Rechtsverbeiständung gutgeheissen und Frau Sonia Lopez Hormigo als amtliche Rechtsbeiständin beigeordnet. Ihr ist deshalb ein amtliches Honorar zu entrichten. Die amtliche Rechtsbeiständin reichte mit der Replik einen Beleg ihres zeitlichen Aufwands von 5 Stunden ein. Der ausgewiesene Aufwand erscheint angemessen. Wie in der genannten Zwischenverfügung ausgeführt wurde, beträgt der Stundenansatz für nichtanwaltliche Vertreterinnen und Vertreter Fr. 150.-. Der amtlichen Rechtsbeiständin wird demnach vom Bundesverwaltungsgericht ein Honorar in der Höhe von Fr. 807.75 (inklusive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