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E-985/2013 vom 14. November 2013</w:t>
      </w:r>
    </w:p>
    <w:p>
      <w:r>
        <w:t>Bundesverwaltungsgericht, 2013-11-14, DE</w:t>
      </w:r>
    </w:p>
    <w:p>
      <w:r>
        <w:rPr>
          <w:b/>
        </w:rPr>
        <w:t xml:space="preserve">Quelle: </w:t>
      </w:r>
      <w:r>
        <w:t>https://mcp.opencaselaw.ch/entscheid/bvger_E-985_2013</w:t>
      </w:r>
    </w:p>
    <w:p>
      <w:r>
        <w:t>FR: TAF E-985/2013 du 14 novembre 2013</w:t>
      </w:r>
    </w:p>
    <w:p>
      <w:r>
        <w:t>IT: TAF E-985/2013 del 14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selbst davon aus, dass der Sachverhalt, wie er der Verfügung vom 24. Januar 2013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der geleistete Kostenvorschuss von Fr. 600.- ist dem Beschwerdeführer zurückzuerstatten.</w:t>
      </w:r>
    </w:p>
    <w:p>
      <w:r>
        <w:rPr>
          <w:b/>
        </w:rPr>
        <w:t>E. 4.2</w:t>
      </w:r>
    </w:p>
    <w:p>
      <w:r>
        <w:t>Die Beschwerdeinstanz kann der ganz oder teilweise obsiegenden Partei von Amtes wegen oder auf Begehren eine Entschädigung für ihr erwachsene notwendige und verhältnismässige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lassen sich die Sachlage und damit die prozessualen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