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E-9827/2025 vom 20. März 2026</w:t>
      </w:r>
    </w:p>
    <w:p>
      <w:r>
        <w:t>Bundesverwaltungsgericht, 2026-03-20, FR</w:t>
      </w:r>
    </w:p>
    <w:p>
      <w:r>
        <w:rPr>
          <w:b/>
        </w:rPr>
        <w:t xml:space="preserve">Quelle: </w:t>
      </w:r>
      <w:r>
        <w:t>https://mcp.opencaselaw.ch/entscheid/bvger_E-9827_2025</w:t>
      </w:r>
    </w:p>
    <w:p>
      <w:r>
        <w:t>FR: TAF E-9827/2025 du 20 mars 2026</w:t>
      </w:r>
    </w:p>
    <w:p>
      <w:r>
        <w:t>IT: TAF E-9827/2025 del 20 marzo 2026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w:t>
      </w:r>
    </w:p>
    <w:p>
      <w:r>
        <w:t>Le recourant fait valoir une constatation incomplète des faits pertinents (art. 106 al. 1 let. b LAsi) et requiert le renvoi de la cause au SEM (cf. acte de recours, pt 49 et 50). Ce grief apparaît infondé, le SEM ayant examiné et écarté les éléments de preuve déposés en raison de leur manque de portée probatoire (cf. décision du SEM, pt II3).</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pertinence et la crédibilité de ses motifs.</w:t>
      </w:r>
    </w:p>
    <w:p>
      <w:r>
        <w:rPr>
          <w:b/>
        </w:rPr>
        <w:t>E. 4.2</w:t>
      </w:r>
    </w:p>
    <w:p>
      <w:r>
        <w:t>En effet, il a déclaré n'avoir entretenu aucun engagement politique, ni soutenu les LTTE ; il n'aurait pas rencontré de problèmes jusqu'en 2005, bien que le séjour de sa famille dans des zones contrôlées par les LTTE, à la fin des années 1990, ait pu susciter les soupçons des autorités. De fait, ainsi que le requérant l'admet lui-même (cf. procès-verbal [p-v] de l'audition du 24 octobre 2023, questions 63, 124 à 127 et 131 à 135 ; p-v de l'audition du 16 septembre 2025, questions 105 et 106), son seul motif d'asile est l'arrestation survenue le 11 octobre 2005, le magasin où il aurait travaillé servant à son insu de cache d'armes aux LTTE. Il aurait été toutefois libéré un ou deux jours plus tard, ce qui tend à indiquer que son innocence avait été reconnue, les enquêteurs admettant qu'il n'avait joué aucun rôle dans l'affaire ; en effet, dans le contexte de guerre qui prévalait à l'époque, il n'est pas crédible que les agents du CID l'aient relâché simplement en raison de son état de santé et de ses dénégations (cf. p-v de l'audition du 16 septembre 2025, questions 37, 45 à 49 et 80). L'auditeur du SEM n'a d'ailleurs pu constater aucune cicatrice visible chez l'intéressé (cf. idem, questions 68 et 69).</w:t>
      </w:r>
    </w:p>
    <w:p>
      <w:r>
        <w:rPr>
          <w:b/>
        </w:rPr>
        <w:t>E. 4.3</w:t>
      </w:r>
    </w:p>
    <w:p>
      <w:r>
        <w:t>Durant les huit mois écoulés entre sa libération et son départ du pays, le recourant n'aurait pas été inquiété, quand bien même il aurait pensé être surveillé ; il n'a toutefois fourni aucune indication claire à ce sujet, se contentant d'hypothèses (cf. p-v de l'audition du 16 septembre 2025, questions 73 à 75). Plus tard, il aurait quitté légalement le Sri Lanka, muni de son passeport personnel, ce qui n'aurait pu se produire s'il avait été recherché ; il n'est en effet pas crédible que ce départ ait pu avoir lieu en raison de lacunes ou de négligences dans le contrôle frontalier (cf. p-v de l'audition du 16 septembre 2025, questions 85 à 89 et 100 ; acte de recours, pt 28 et 40). Par ailleurs, le recourant aurait passé 17 ans (dont 12 ans légalement) à F._______ sans y requérir de mesures de protection et n'aurait pas craint, en 2014, de demander le renouvellement de son passeport à la représentation sri lankaise (cf. p-v de l'audition du 24 octobre 2023, questions 94 à 96 ; p-v de l'audition du 16 septembre 2025, questions 116 à 120) ; il apparaît ainsi clairement qu'il ne se sentait pas en danger du fait des autorités de son pays d'origine. En outre, s'il a indiqué dans son recours (cf. pt 27 et 38) qu'un ordre d'incarcération avait été émis contre lui une année plus tôt, il n'en a fourni aucune preuve ; il y fait également référence à l'attestation dans ce sens d'un parlementaire, qui n'a cependant pas été produite. Il apparaît du reste peu vraisemblable que relâché après une brève détention, l'intéressé fasse l'objet de poursuites 18 ans après son départ du Sri Lanka. De même, rien ne permet de retenir que l'incendie du bus appartenant à son frère, en 2016, ait un quelconque rapport avec sa situation personnelle. Enfin, les documents déposés par le recourant et qui attestent le séjour de ses proches dans un camp de réfugiés, en 1997 et 1998, ainsi que son emploi à F._______, les documents d'état civil et les photographies jointes sont sans pertinence en matière d'asile.</w:t>
      </w:r>
    </w:p>
    <w:p>
      <w:r>
        <w:rPr>
          <w:b/>
        </w:rPr>
        <w:t>E. 4.4</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l'absence de facteurs de risque spécifiques.</w:t>
      </w:r>
    </w:p>
    <w:p>
      <w:r>
        <w:rPr>
          <w:b/>
        </w:rPr>
        <w:t>E. 4.4.1</w:t>
      </w:r>
    </w:p>
    <w:p>
      <w:r>
        <w:t>Ont été ainsi retenu des facteurs de risque dits forts qui suffisent en général, à eux seuls, à fonder une crainte de persécution future déterminante en matière d'asile, à savoir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ou un engagement particulier dans des activités politiques en exil, dans le but de ranimer le mouvement séparatiste tamoul (cf. E-1866/2015 précité consid. 8.4 et 8.5). Ont également été définis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tels la présence de cicatrices (qui n'a pas été constatée en l'espèce), l'absence de documents d'identité ou un séjour d'une certaine durée dans un pays occidental, peuvent être aussi combinés entre eux et s'avérer ainsi déterminants pour fonder une crainte de persécution (cf. E-1866/2015 précité consid. 8.4.5 et 8.5.5).</w:t>
      </w:r>
    </w:p>
    <w:p>
      <w:r>
        <w:rPr>
          <w:b/>
        </w:rPr>
        <w:t>E. 4.4.2</w:t>
      </w:r>
    </w:p>
    <w:p>
      <w:r>
        <w:t>En l'espèce, le cas du recourant ne fait pas apparaître de facteurs de risque spécifiques. Jamais affilié à un mouvement d'opposition, il a été brièvement arrêté par le CID, il y a plus de vingt ans, puis relâché et a quitté légalement le pays, ne se livrant en exil à aucune activité politique. Dès lors, rien ne permet de retenir que l'intéressé soit inscrit sur l'une ou l'autre des listes précitées, ni, de manière plus générale, qu'il fasse l'objet d'une quelconque procédure ou de recherches au Sri Lanka.</w:t>
      </w:r>
    </w:p>
    <w:p>
      <w:r>
        <w:rPr>
          <w:b/>
        </w:rPr>
        <w:t>E. 4.5</w:t>
      </w:r>
    </w:p>
    <w:p>
      <w:r>
        <w:t>Il s'ensuit que le recours doit être rejeté, en tant qu'il conteste le refus de reconnaître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outre, pour les motifs exposés,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et jurisp. cit.).</w:t>
      </w:r>
    </w:p>
    <w:p>
      <w:r>
        <w:rPr>
          <w:b/>
        </w:rPr>
        <w:t>E. 8.2</w:t>
      </w:r>
    </w:p>
    <w:p>
      <w:r>
        <w:t>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E-1866/2015 précité consid. 13). Ni la crise économique et financière à laquelle est confronté le pays depuis 2022 ni l'évolution de la situation politique y prévalant (accession à la présidence, le 22 septembre 2024, d'Anura Kumara Dissanayaka) ne sont de nature à modifier cette appréciation (cf. notamment arrêts du Tribunal E-6673/2023 du 29 novembre 2024 ; E-5496/2023 du 30 juillet 2024). La situation tendue (crise gouvernementale, économique et financière) qui règne depuis quelque temps dans de nombreuses régions du Sri Lanka ne change rien à cette estimation, d'autant plus que la crise touche l'ensemble de la population sri-lankaise (cf. arrêts du Tribunal D-3540/2019 du 19 décembre 2024 consid. 10.2 ; E-6472/2019 du 23 septembre 2024 consid. 9.4.2). Par ailleurs, dans l'arrêt de référence E-1866/2015, le Tribunal a jugé que l'exécution du renvoi de requérants d'asile déboutés d'ethnie tamoule vers les provinces du Nord et de l'Est du Sri Lanka était exigible, à l'exception de la région du Vanni, dès lors que les critères individuels d'exigibilité, à savoir l'existence d'un solide réseau de relations familiales ou sociales, l'accès à un logement et la perspective de pouvoir couvrir ses besoins élémentaires, étaient remplis (cf. consid. 13.3.2 à 13.4). Dans son arrêt de référence D-3619/2016 du 16 octobre 2017 (cf. consid. 9.5), il a admis que l'exécution du renvoi vers le Vanni était raisonnablement exigible, sous réserve notamment d'un accès à un logement et d'une perspective favorable pour la couverture des besoins élémentaires. Cette jurisprudence demeure valable même si l'on tient compte de la situation économique difficile qui règne actuellement dans une grande partie du Sri Lanka ainsi que de la situation politique et sociale tendue (cf. arrêts du Tribunal E-217/2022 du 1er décembre 2023 consid. 10.2 ; E-1737/2021 du 7 novembre 2025 consid. 10.2 et réf. cit.).</w:t>
      </w:r>
    </w:p>
    <w:p>
      <w:r>
        <w:rPr>
          <w:b/>
        </w:rPr>
        <w:t>E. 8.3</w:t>
      </w:r>
    </w:p>
    <w:p>
      <w:r>
        <w:t>En l'occurrence, il ne ressort du dossier aucun élément dont on pourrait inférer que l'exécution du renvoi impliquerait une mise en danger concrète du recourant. En effet, il ne souffre d'aucune maladie et se trouve au bénéfice d'une expérience professionnelle. Il dispose d'un réseau familial suffisant : ses deux frères aînés installés à F._______ et qui ont payé son voyage soutiennent financièrement la famille, alors que son frère cadet exploite un commerce au pays et d'autres parents plus éloignés s'y trouvent toujours. Il a également précisé que sa famille se trouvait dans une situation économique favorable (cf. p-v de l'audition du 24 octobre 2023, questions 46 à 50, 54 et 55, 72 et 102 ; p-v de l'audition du 16 septembre 2025, question 128).</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11</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partielle doit être rejetée (art. 65 al. 1 PA) ;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