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E-978/2018 vom 7. Mai 2018</w:t>
      </w:r>
    </w:p>
    <w:p>
      <w:r>
        <w:t>Bundesverwaltungsgericht, 2018-05-07, DE</w:t>
      </w:r>
    </w:p>
    <w:p>
      <w:r>
        <w:rPr>
          <w:b/>
        </w:rPr>
        <w:t xml:space="preserve">Quelle: </w:t>
      </w:r>
      <w:r>
        <w:t>https://mcp.opencaselaw.ch/entscheid/bvger_E-978_2018</w:t>
      </w:r>
    </w:p>
    <w:p>
      <w:r>
        <w:t>FR: TAF E-978/2018 du 7 mai 2018</w:t>
      </w:r>
    </w:p>
    <w:p>
      <w:r>
        <w:t>IT: TAF E-978/2018 del 7 maggio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vor dem Bundesverwaltungsgericht kann die Verletzung von Bundesrecht (einschliesslich Missbrauch und Überschreiten des Ermessens) sowie die unrichtige oder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Vorab ist festzustellen, dass die Vorinstanz den Sachverhalt richtig sowie vollständig festgestellt hat und seiner Begründungspflicht nachgekommen ist. Eine Auseinandersetzung mit dem nicht weiter begründeten Eventualantrag auf Rückweisung der Sache an die Vorinstanz zur Neubeurteilung erübrigt sich somit.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Bundesverwaltungsgericht kommt in Übereinstimmung mit dem SEM zum Schluss, dass die Vorbringen des Beschwerdeführers den Anforderungen an die Flüchtlingseigenschaft nicht zu genügen vermögen. Zur Vermeidung von Wiederholungen kann weitgehend auf die zutreffenden Erwägungen in der angefochtenen Verfügung verwiesen werden, selbst wenn die Argumentation zur angeblich fehlenden Gezieltheit nicht völlig überzeugt. Festzuhalten ist aber, dass jedenfalls kein asylrelevantes Motiv im Sinne von Art. 3 Abs. 1 AsylG (Rasse, Religion, Nationalität, Zugehörigkeit zu einer bestimmten sozialen Gruppe oder politische Anschauungen) erkennbar ist, aufgrund dessen der Beschwerdeführer aufgrund seines Entzugs gegebenenfalls bestraft werden könnte. Diesbezüglich brachte der Beschwerdeführer in Bezug auf die F._______-Miliz vor, es seien verschiedene Personen in seinem Dorf nach Bedarf für ein paar Tage zum Stützpunkt geholt worden (...). In Bezug auf die Taliban ergibt sich aus den eingereichten Strafanzeigen und seinen Aussagen zu den Problemen seines (...)s (...), dass offenbar viele junge Männer in der Wohngegend des Beschwerdeführers von Rekrutierungen betroffen waren respektive noch sind. Bereits die Bemühungen der verfeindeten Gruppierungen, junge Männer zum Dienst einzuziehen, knüpften somit nicht an die in Art. 3 Abs. 1 AsylG umschriebenen Kriterien, sondern an den Wohnort an. Weshalb einer unter Umständen drohenden Bestrafung asylrechtlich erhebliche Motive zugrunde liegen sollten, ist nicht ersichtlich; das pauschale Argument, die Taliban würden seinen Entzug als gegen ihre Überzeugungen gerichtete Haltung deuten, überzeugt jedenfalls nicht. Ob der Beschwerdeführer bei einer (aufgrund der verfügten vorläufigen Aufnahme hypothetischen) heutigen Rückkehr nach Afghanistan allenfalls eine menschenrechtwidrige Behandlung im Sinne von Art. 3 EMRK zu gewärtigen hätte, ein Risiko, das tatsächlich nicht gänzlich von der Hand gewiesen werden kann, ist aufgrund der von der Vorinstanz angeordneten vorläufigen Aufnahme und der Alternativität der Vollzugshindernisse (BVGE 2009/51 E. 5.4) nicht Gegenstand des vorliegenden Verfahrens.</w:t>
      </w:r>
    </w:p>
    <w:p>
      <w:r>
        <w:rPr>
          <w:b/>
        </w:rPr>
        <w:t>E. 6.2</w:t>
      </w:r>
    </w:p>
    <w:p>
      <w:r>
        <w:t>Zusammenfassend ist festzustellen, dass es dem Beschwerdeführer nicht gelungen ist, Asylgründe darzutun. Die Vorinstanz hat sein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Nachdem das SEM in seiner Verfügung vom 18. Januar 2018 die vorläufige Aufnahme des Beschwerdeführers in der Schweiz angeordnet hat, erübrigen sich praxisgemäss weitere Ausführungen zur Zulässigkeit, Zumutbarkeit und Möglichkeit des Wegweisungsvollzugs. Die vorläufige Aufnahme tritt mit dem vorliegenden Entscheid formell in Rechtskraft.</w:t>
      </w:r>
    </w:p>
    <w:p>
      <w:r>
        <w:rPr>
          <w:b/>
        </w:rPr>
        <w:t>E. 9</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10.1</w:t>
      </w:r>
    </w:p>
    <w:p>
      <w:r>
        <w:t>Die Anträge auf Bewilligung der unentgeltlichen Rechtspflege im Sinne von Art. 65 Abs. 1 VwVG und gestützt auf Art. 110a Abs. 1 Bst. a sowie Abs. 3 AsylG auf Bestellung der Rechtsvertreterin als amtliche Rechtsbeiständin sind abzuweisen, weil die Begehren - wie sich aus den vorliegenden Erwägungen ergibt - als aussichtslos zu bezeichnen sind, womit eine der kumulativen Voraussetzungen von Art. 65 Abs. 1 VwVG nicht erfüllt ist.</w:t>
      </w:r>
    </w:p>
    <w:p>
      <w:r>
        <w:rPr>
          <w:b/>
        </w:rPr>
        <w:t>E. 10.2</w:t>
      </w:r>
    </w:p>
    <w:p>
      <w:r>
        <w:t>Bei diesem Ausgang des Verfahrens sind die Kosten dem Beschwer-deführer aufzuerlegen (Art. 63 Abs. 1 VwVG) und auf insgesamt Fr. 750.- festzusetzen (Art. 1 3 des Reglements vom 21. Februar 2008 über die Kosten und Entschädigungen vor dem Bundesverwaltungsgericht [VGKE, SR 173.320.2]). Der am 8. März 2018 geleistete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