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E-972/2011 vom 24. März 2011</w:t>
      </w:r>
    </w:p>
    <w:p>
      <w:r>
        <w:t>Bundesverwaltungsgericht, 2011-03-24, FR</w:t>
      </w:r>
    </w:p>
    <w:p>
      <w:r>
        <w:rPr>
          <w:b/>
        </w:rPr>
        <w:t xml:space="preserve">Quelle: </w:t>
      </w:r>
      <w:r>
        <w:t>https://mcp.opencaselaw.ch/entscheid/bvger_E-972_2011</w:t>
      </w:r>
    </w:p>
    <w:p>
      <w:r>
        <w:t>FR: TAF E-972/2011 du 24 mars 2011</w:t>
      </w:r>
    </w:p>
    <w:p>
      <w:r>
        <w:t>IT: TAF E-972/2011 del 24 marzo 2011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Fr. 600.-, sont supportés par l'intéressé. Ils sont compensés avec son avance versée le 4 mars 2010.</w:t>
      </w:r>
    </w:p>
    <w:p>
      <w:r>
        <w:rPr>
          <w:b/>
        </w:rPr>
        <w:t>E. 3</w:t>
      </w:r>
    </w:p>
    <w:p>
      <w:r>
        <w:t>Le présent arrêt est adressé au recourant, ainsi qu'à l'ODM et à l'autorité cantonale compétente. La juge unique : Le greffier : Jenny de Coulon Scuntaro Christian Dubois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