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E-970/2022 vom 8. März 2022</w:t>
      </w:r>
    </w:p>
    <w:p>
      <w:r>
        <w:t>Bundesverwaltungsgericht, 2022-03-08, DE</w:t>
      </w:r>
    </w:p>
    <w:p>
      <w:r>
        <w:rPr>
          <w:b/>
        </w:rPr>
        <w:t xml:space="preserve">Quelle: </w:t>
      </w:r>
      <w:r>
        <w:t>https://mcp.opencaselaw.ch/entscheid/bvger_E-970_2022</w:t>
      </w:r>
    </w:p>
    <w:p>
      <w:r>
        <w:t>FR: TAF E-970/2022 du 8 mars 2022</w:t>
      </w:r>
    </w:p>
    <w:p>
      <w:r>
        <w:t>IT: TAF E-970/2022 del 8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 CO- VID-19-Verordnung Asyl [SR 142.318]; Art. 48 Abs. 1 sowie Art. 52 Abs. 1 VwVG). Auf die Beschwerde ist einzutreten.</w:t>
      </w:r>
    </w:p>
    <w:p>
      <w:r>
        <w:t>E-970/2022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beantragt, die Sache sei wegen unvollständiger Feststellung des rechtserheblichen Sachverhalts an die Vorinstanz zurück- zuweisen. So habe die Vorinstanz bei der Feststellung des Sachverhalts hinsichtlich der Schutzfähigkeit und des Schutzwillens der türkischen Be- hörden die kurdische Ethnie des Beschwerdeführers nicht berücksichtigt. Dabei handelt es sich um eine formelle Rüge, welche vorab zu beurteilen ist, da sie gegebenenfalls geeignet ist, eine Kassation der vorinstanzlichen Verfügung zu bewirken.</w:t>
      </w:r>
    </w:p>
    <w:p>
      <w:r>
        <w:rPr>
          <w:b/>
        </w:rPr>
        <w:t>E. 4.2</w:t>
      </w:r>
    </w:p>
    <w:p>
      <w:r>
        <w:t>Der Untersuchungsgrundsatz gehört zu den allgemeinen Grundsätzen des Asylverfahrens (vgl. Art. 12 VwVG i.V.m. Art. 6 AsylG). Demnach stellt die Behörde den Sachverhalt von Amtes wegen fest und bedient sich nöti- genfalls der unter Art. 12 Bst. a–e VwVG aufgelisteten Beweismittel. Dieser Grundsatz gilt indes nicht uneingeschränkt; er findet seine Grenzen an der Mitwirkungspflicht des Asylsuchenden (vgl. Art. 8 AsylG). Dazu gehört un- ter anderem, die Identität offenzulegen, vorhandene Identitätspapiere ab- zugeben und an der Feststellung des Sachverhalts mitzuwirken.</w:t>
      </w:r>
    </w:p>
    <w:p>
      <w:r>
        <w:rPr>
          <w:b/>
        </w:rPr>
        <w:t>E. 4.3</w:t>
      </w:r>
    </w:p>
    <w:p>
      <w:r>
        <w:t>Die Rüge der Verletzung der Untersuchungspflicht ist unbegründet. So- weit der Beschwerdeführer Nachteile aufgrund seiner Zugehörigkeit zur kurdischen Volksgruppe geltend macht, ist an dieser Stelle festzuhalten, dass die Vorinstanz diesen Umstand bei der Würdigung des Sachverhaltes berücksichtigte (vgl. die angefochtene Verfügung I /Ziffer 3). Dass sie die Akten anders würdigt als der Beschwerdeführer, ist sodann nicht eine</w:t>
      </w:r>
    </w:p>
    <w:p>
      <w:r>
        <w:t>E-970/2022 Seite 5 Frage der Verletzung der Untersuchungspflicht, sondern betrifft die materi- elle Würdigung der Vorbringen. Nach dem Gesagten ist die Vorinstanz ihrer Pflicht, den rechtserheblichen Sachverhalt von Amtes wegen festzustellen (vgl. Art. 6 AsylG i.V.m. Art. 12 VwVG), in rechtsgenüglicher Weise nach- gekommen. Der Untersuchungsgrundsatz wurde folglich nicht verletzt, weswegen eine Rückweisung an die Vorinstanz ausser Betracht fällt.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in der angefochtenen Verfügung zum Schluss, die Vorbringen des Beschwerdeführers hielten den Anforderungen an die Flüchtlingseigenschaft gemäss Art. 3 AsylG nicht stand. Zur Begründung führte sie aus, dass die Vorbringen des Beschwerdefüh- rers nicht auf einem in Art. 3 Abs. 1 AsylG genannten Motive basierten. Die mutmassliche Verfolgungsmotivation durch seine Verwandten sei aus Ra- che erfolgt und daher als kriminell einzuordnen. Dem Beschwerdeführer biete sich in der Türkei die Möglichkeit, sich in solchen Angelegenheiten an die türkischen Behörden zu wenden, welche in dieser Hinsicht schutzwillig und schutzfähig seien. Ausserdem habe er die Möglichkeit, sich an einem anderen Ort in der Türkei niederzulassen, wenn er befürchte, dass der Staat ihn in seiner Provinz nicht adäquat schützen könne.</w:t>
      </w:r>
    </w:p>
    <w:p>
      <w:r>
        <w:t>E-970/2022 Seite 6</w:t>
      </w:r>
    </w:p>
    <w:p>
      <w:r>
        <w:rPr>
          <w:b/>
        </w:rPr>
        <w:t>E. 6.2</w:t>
      </w:r>
    </w:p>
    <w:p>
      <w:r>
        <w:t>In der Beschwerde erwidert der Beschwerdeführer, dass es sich vorlie- gend – da es um den Schutz von Frauen gehe – um eine Konstellation mit soziokulturellem Hintergrund handle und deswegen die Schutzfähigkeit und Schutzwilligkeit des türkischen Staates höchst fraglich sei. Gesetze würden zwar existieren, diese würden aber von den türkischen Behörden allgemein nur mangelhaft durchgesetzt. Ein fehlender Schutzwille des Staates werde nochmals durch den Fakt gestärkt, dass sich der Bruder des Beschwerdeführers der Arbeitspartei (recte: Arbeiterpartei) Kurdistans (PKK) angeschlossen habe, welche von der türkischen Regierung als Ter- rororganisation betrachtet werde. Eine Verbindung von ihm und seiner Fa- milie mit dieser Partei führe ebenfalls dazu, dass die türkischen Behörden ihre Schutzbedürftigkeit nicht ernst nehmen würden. Im Weiteren drohe im bei einer Rückkehr in die Türkei die Tötung durch die Familie seines Onkels, da er, der Beschwerdeführer, diese über Jahre ge- täuscht und angelogen habe, was spätestens seit der gemeinsamen Flucht mit seiner Schwester im Jahr (…) allen klargeworden sei. Durch seine Handlungen habe er direkt die versprochene Hochzeit verhindert, was in seinen kulturellen Kreisen eine grobe Ehrverletzung darstelle. Untermauert werde die Bedrohung durch die konkreten Morddrohungen durch seine Cousins.</w:t>
      </w:r>
    </w:p>
    <w:p>
      <w:r>
        <w:rPr>
          <w:b/>
        </w:rPr>
        <w:t>E. 7</w:t>
      </w:r>
    </w:p>
    <w:p>
      <w:r>
        <w:t>Nach Prüfung der Akten ist festzustellen, dass die Vorbringen des Be- schwerdeführers den Anforderungen an die Flüchtlingseigenschaft ge- mäss Art. 3 AsylG nicht standhalten, wobei zur Vermeidung von Wiederho- lungen auf die zu bestätigenden Erwägungen in der angefochtenen Verfü- gung zu verweisen ist. Insbesondere stellt die Vorinstanz zu Recht fest, dass die innerfamiliären Probleme nicht auf einem in Art. 3 Abs. 1 AsylG genannten Motiv beruhen, sondern es sich um Drohungen aus Rache handelt. Bei Verfolgungshand- lungen durch Dritte – wie vorliegend – ist jeweils zu prüfen, ob der türkische Staat schutzfähig und schutzwillig ist. Betreffend das beschwerdeseitige Vorbringen, es könne nicht von der Schutzfähigkeit und dem Schutzwillen der Türkei ausgegangen werden, kann gemäss der bundesverwaltungsge- richtlichen Rechtsprechung festgehalten werden, dass der türkische Staat die Voraussetzungen erfüllt, wonach dieser fähig und willens ist, Schutz vor Verfolgung Dritter zu bieten und eine funktionierende und effiziente Schutzinfrastruktur zur Verfügung zu stellen (vgl. Urteile des BVGer</w:t>
      </w:r>
    </w:p>
    <w:p>
      <w:r>
        <w:t>E-970/2022 Seite 7 E-4805/2021 vom 12. November 2021 E. 8.2.3; E-3000/2021 vom 15. Sep- tember 2021 E. 5.2; E-1280/2021 vom 20. April 2021). Der Beschwerde- führer kann sich bei Nachstellungen oder Behelligungen an die türkischen Behörden wenden. Dem Vorbringen in der Beschwerde, vorliegend gehe es um den Schutz der Frauen und diesbezüglich sei die Schutzfähigkeit und der Schutzwille der Türkei höchst fraglich, kann nicht gefolgt werden: Zwar macht der Beschwerdeführer geltend, er habe seiner Schwester zur Flucht verholfen, trotzdem kann er sich als Mann nicht darauf berufen, dass die Schutzfähigkeit und der Schutzwille der Türkei in Bezug auf den Schutz von Frauen hinsichtlich seiner Person höchst fraglich sei, weswegen auf dieses Vorbringen nicht weitereinzugehen ist. Hinsichtlich des Vorbringens des Beschwerdeführers, sein Bruder habe sich der PKK angeschlossen und er, der Beschwerdeführer, habe somit eine Verbindung zur PKK, weswegen die Behörden ihre Schutzfähigkeit und ihren Schutzwillen nicht ernstnehmen würden, ist zu entgegnen, dass dies erstmalig in der Beschwerde geltend gemacht und nicht weiter ausge- führt, begründet oder belegt wird. Dieses Vorbringen ist mithin als nachge- schoben und unglaubhaft zu qualifizieren und somit unbeachtlich. Nach dem Gesagten ist festzustellen, dass es dem Beschwerdeführer nicht gelungen ist, einen flüchtlingsrechtlich bedeutsamen Sachverhalt darzule- gen. Die Feststellung der Vorinstanz, der Beschwerdeführer erfülle die Flüchtlingseigenschaft nicht, ist dementsprechend zu bestätigen. Die Vorinstanz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E-970/2022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Unzulässigkeit des Wegweisungsvollzugs wegen einer drohenden Misshandlung beziehungsweise einer Gefährdung von Leib und Leben wird in der Praxis und entgegen der Meinung des Beschwerdeführers nicht aus dem Blickwinkel von Art. 2 EMRK, sondern aus demjenigen von Art. 3 EMRK geprüft (vgl. Urteil des EGMR S.D.M. v. Schweden vom 12. Januar 2016, 8161/07, § 57 m.w.H.; Urteil des BVGer E-688/2017 vom 6. März 2017 E. 6.2). Art. 3 EMRK kann dem Wegweisungsvollzug auch dann ent- gegenstehen, wenn die zu befürchtende Misshandlung nicht von staatli- chen Institutionen droht, sondern von Privaten, sofern ausgeschlossen scheint, dass die Behörden einen wirksamen Schutz gewährleisten können (vgl. Urteil des BVGer D-5101/2006 vom 11. Februar 2009, E. 4.2; MEYER- LADEWIG, Handkommentar zur EMRK, 3. Aufl., Baden-Baden 2011, Art. 3 N 72).</w:t>
      </w:r>
    </w:p>
    <w:p>
      <w:r>
        <w:t>E-970/2022 Seite 9</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pauschalen und unbelegten Aussa- gen des Beschwerdeführers, ihm drohe Gefahr von der Familie seines On- kels,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Bei allfälligen Behelligungen und Nachstellungen durch Drittpersonen kann er sich sodann an die staatlichen Behörden wen- den.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Beschwerdeführer stammt aus der Provinz B._______. Der Weg- weisungsvollzug in diese Provinz wird als generell unzumutbar qualifiziert (BVGE 2013/2 E. 9.6; vgl. statt vieler Urteil des BVGer D-5187/2020 vom 3. März 2022 E. 8.3.1). Dies hat zur Folge, dass bei abgewiesenen Asylsu- chenden, die unter anderem aus B._______ stammen, die Existenz einer individuell zumutbaren innerstaatlichen Aufenthaltsalternative zu prüfen ist.</w:t>
      </w:r>
    </w:p>
    <w:p>
      <w:r>
        <w:t>E-970/2022 Seite 10 Der Beschwerdeführer ist jung, gesund und hat eine gute Ausbildung und Berufserfahrung, letzteres auch als selbständiger Geschäftsführer. Er spricht fliessend Türkisch, weshalb es auch sprachlich kein Problem sein wird, sich in einer Grossstadt im Westen der Türkei niederzulassen. Den Ausführungen der Vorinstanz hinsichtlich einer innerstaatlichen Aufent- haltsalternative ist vollumfänglich zuzustimmen. Nach dem Gesagten er- 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Aufgrund der Aussichtslosigkeit der Rechtsbegehren ist das Gesuch um unentgeltliche Prozessführung, ungeachtet einer allfälligen prozessua- len Bedürftigkeit, abzuweisen.</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Mit vorliegendem Urteil wird der Antrag auf Verzicht auf die Erhebung eines Kostenvorschusses gegenstandslos.</w:t>
      </w:r>
    </w:p>
    <w:p>
      <w:r>
        <w:t>(Dispositiv nächste Seite)</w:t>
      </w:r>
    </w:p>
    <w:p>
      <w:r>
        <w:t>E-970/2022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