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E-9707/2025 vom 5. Mai 2026</w:t>
      </w:r>
    </w:p>
    <w:p>
      <w:r>
        <w:t>Bundesverwaltungsgericht, 2026-05-05, DE</w:t>
      </w:r>
    </w:p>
    <w:p>
      <w:r>
        <w:rPr>
          <w:b/>
        </w:rPr>
        <w:t xml:space="preserve">Quelle: </w:t>
      </w:r>
      <w:r>
        <w:t>https://mcp.opencaselaw.ch/entscheid/bvger_E-9707_2025</w:t>
      </w:r>
    </w:p>
    <w:p>
      <w:r>
        <w:t>FR: TAF E-9707/2025 du 5 mai 2026</w:t>
      </w:r>
    </w:p>
    <w:p>
      <w:r>
        <w:t>IT: TAF E-9707/2025 del 5 maggio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zur Einreichung der Beschwerde legitimiert (Art. 105 und Art. 108 Abs. 1 AsylG; Art. 48 Abs. 1 sowie Art. 52 Abs. 1 VwVG). Auf die Beschwerde ist - nach fristgerecht erfolgter Leistung des Kostenvorschusses - einzutreten.</w:t>
      </w:r>
    </w:p>
    <w:p>
      <w:r>
        <w:rPr>
          <w:b/>
        </w:rPr>
        <w:t>E. 2</w:t>
      </w:r>
    </w:p>
    <w:p>
      <w:r>
        <w:t>Zudem wird im Beschwerdeverfahren der Mutter (E-7456/2025) zunächst zu klären sein, ob die pendente lite eingereisten minderjährigen Geschwister des Beschwerdeführers, deren Verfahren zwischenzeitlich ebenfalls am Bundesverwaltungsgericht anhängig gemacht wurde (E-3107/2026), ins Beschwerdeverfahren der Mutter einzubeziehen sind. Der Beschwerdeführer ist volljährig und trägt weder die faktische noch rechtliche Verantwortung für seine jüngeren Geschwister. Sodann ist - entgegen seinen Behauptungen - davon auszugehen, dass er im Heimatstaat über ein soziales Beziehungsnetz verfügt (vgl. hierzu nachfolgend E. 9.3.4). Somit sind keine Gründe ersichtlich, weshalb das vorliegende Beschwerdeverfahren des Beschwerdeführers trotz offensichtlicher Spruchreife im Hinblick auf die noch laufenden Beschwerdeverfahren seiner Mutter und Geschwister pendent gehalten werden sollte. Der Antrag auf koordinierte Behandlung seiner Beschwerde mit den ebenfalls beim Bundesverwaltungsgericht anhängigen Beschwerdeverfahren betreffend seine Mutter und Geschwister ist folglich abzuweisen.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die angefochtene Verfügung zusammenfassend dahingehend, dass einerseits nicht konkret zu erkennen sei, dass dem Beschwerdeführer in F._______ seitens seines Vaters, der infolge der Scheidung nach D._______ gezogen sei und erneut geheiratet habe, tatsächlich ernsthafte Nachteile gedroht hätten. Zudem seien die staatlichen Behörden im Fall des Beschwerdeführers sowohl als schutzwillig wie auch als schutzfähig im Rahmen der Möglichkeiten des staatlichen Handelns einzustufen. Schliesslich stehe ihm die Option offen, sich durch einen Umzug innerhalb von F._______ von seinem Vater derart zu entfernen, dass er ihn (den Beschwerdeführer), selbst wenn er wollte, nicht würde auffinden können.</w:t>
      </w:r>
    </w:p>
    <w:p>
      <w:r>
        <w:rPr>
          <w:b/>
        </w:rPr>
        <w:t>E. 6.2</w:t>
      </w:r>
    </w:p>
    <w:p>
      <w:r>
        <w:t>Der Beschwerdeführer bringt in seiner Beschwerde im Wesentlichen vor, er sei Zeuge der psychischen und physischen Gewalt geworden, die seine Mutter habe erleiden müssen und habe selbst schwerwiegende Kindheitstraumata erlitten. Die Ehe seiner Eltern sei von Anfang an von häuslicher Gewalt geprägt gewesen, der Vater habe regelmässig physische und psychische Gewalt gegen die Mutter angewendet. Die Vorinstanz habe die asylrelevante Gefährdung in der Türkei teils gänzlich ignoriert, teils zu relativieren und bagatellisieren versucht. Er sei zum Zeitpunkt des relevanten Geschehens minderjährig und ebenso wie die Mutter Opfer häuslicher Gewalt gewesen. Er habe ausser seiner Mutter und seinen Geschwistern keinerlei familiäre Bezugspersonen - diese zu verlieren, bereite ihm Angst und stelle eine erhebliche emotionale Belastung für ihn dar.</w:t>
      </w:r>
    </w:p>
    <w:p>
      <w:r>
        <w:rPr>
          <w:b/>
        </w:rPr>
        <w:t>E. 7.1</w:t>
      </w:r>
    </w:p>
    <w:p>
      <w:r>
        <w:t>Nach Durchsicht der Akten gelangt das Bundesverwaltungsgericht zum Schluss, dass die Erwägungen des SEM nicht zu beanstanden sind. In seiner Rechtsmitteleingabe beschränkt sich der Beschwerdeführer weitestgehend darauf, seine im erstinstanzlichen Verfahren bereits geltend gemachten Vorbringen zu bekräftigen. Damit vermag er die vorinstanzliche Würdigung nicht substanziiert in Frage zu stellen. In der Folge kann mit einigen Ergänzungen auf die zutreffenden Ausführungen der Vorinstanz verwiesen werden (vgl. angefochtene Verfügung Ziff. II, S. 3-6; kurz zusammengefasst oben in E. 6.1).</w:t>
      </w:r>
    </w:p>
    <w:p>
      <w:r>
        <w:rPr>
          <w:b/>
        </w:rPr>
        <w:t>E. 7.2</w:t>
      </w:r>
    </w:p>
    <w:p>
      <w:r>
        <w:t>Der Beschwerdeführer machte geltend, sich vor weiteren Übergriffen durch seinen gewalttätigen Vater gefürchtet zu haben. Er habe seine jüngeren Geschwister aus dessen Obhut befreit, in F._______ jedoch keinen Ort gehabt, wo er längerfristig mit ihnen hätte wohnen können. Entsprechend habe er sich zu seiner Mutter in die Schweiz begeben.</w:t>
      </w:r>
    </w:p>
    <w:p>
      <w:r>
        <w:rPr>
          <w:b/>
        </w:rPr>
        <w:t>E. 7.3</w:t>
      </w:r>
    </w:p>
    <w:p>
      <w:r>
        <w:t>Zunächst ist festzuhalten, dass die geltend gemachten Übergriffe durch den Vater des Beschwerdeführers von privaten Dritten ausgehen und der türkische Staat gemäss gefestigter Rechtsprechung des Bundesverwaltungsgerichts auch in Bezug auf häusliche Gewalt als schutzfähig sowie schutzwillig gilt (vgl. Urteil des BVGer E-4860/2024 vom 24. Februar 2026 E. 6.2 m.w.H.). Dies gilt umso mehr, als für die Grossstadt F._______ generell von einer dichteren Infrastruktur des Opferschutzes auszugehen ist als in ländlichen Regionen (vgl. Urteil des BVGer E-4904/2025 vom 23. September 2025 E. 6.2).</w:t>
      </w:r>
    </w:p>
    <w:p>
      <w:r>
        <w:rPr>
          <w:b/>
        </w:rPr>
        <w:t>E. 7.4</w:t>
      </w:r>
    </w:p>
    <w:p>
      <w:r>
        <w:t>Der Beschwerdeführer hat gemäss eigenen Aussagen die heimatlichen Behörden nie persönlich um Schutz vor seinem Vater ersucht (SEM-Akten [...]-[A]17/14, F24). Somit kann er sich nicht darauf berufen, dass diese die nötigen Massnahmen nicht ergriffen hätten. Zudem ist es ihm offenbar gelungen, Schlepper zu engagieren, welche ihn und seine Geschwister mit grossem Aufwand illegal in die Schweiz eingeschleust haben ([A]17/14, F49 ff.). Folglich wäre es ihm auch zuzumuten gewesen, sich - nötigenfalls mit Hilfe von Anwälten - schutzsuchend an die heimatlichen Behörden zu wenden.</w:t>
      </w:r>
    </w:p>
    <w:p>
      <w:r>
        <w:rPr>
          <w:b/>
        </w:rPr>
        <w:t>E. 7.5</w:t>
      </w:r>
    </w:p>
    <w:p>
      <w:r>
        <w:t>Zudem ist in Übereinstimmung mit der Vorinstanz nicht konkret zu erkennen, dass dem Beschwerdeführer in F._______ seitens seines Vaters, der infolge der Scheidung nach D._______ gezogen sei und erneut geheiratet habe ([A]17/14, F24), tatsächlich ernsthafte Nachteile gedroht hätten. So hat der Beschwerdeführer nach der Ausreise seiner Mutter noch fast eineinhalb Jahre in der Türkei an einem Ort verbracht, der seinem Vater bekannt gewesen ist (a.a.O.), ohne dass dieser ihm ernsthaften physischen Schaden zugefügt hat. Es ist nicht von einer konkreten Gefährdung des Beschwerdeführers an Leib und Leben in der Türkei auszugehen. Schliesslich steht dem Beschwerdeführer die Option offen, sich durch einen Umzug innerhalb von F._______ für seinen Vater unauffindbar von diesem zu entfernen.</w:t>
      </w:r>
    </w:p>
    <w:p>
      <w:r>
        <w:rPr>
          <w:b/>
        </w:rPr>
        <w:t>E. 7.6</w:t>
      </w:r>
    </w:p>
    <w:p>
      <w:r>
        <w:t>Zusammenfassend hat die Vorinstanz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der Türkei herrscht keine Situation allgemeiner Gewalt. Die allgemeine Sicherheitslage steht einem Vollzug der Wegweisung des Beschwerdeführers in seinen Heimatstaat somit nicht entgegen. Doch ist bei der Beurteilung der Zumutbarkeit des Wegweisungsvollzugs eine einzelfallweise Prüfung der individuellen Lebenssituation der Betroffenen vorzunehmen (vgl. das Referenzurteil BVGer E-4103/2024 vom 8. November 2024 E. 13.2 und E. 13.3).</w:t>
      </w:r>
    </w:p>
    <w:p>
      <w:r>
        <w:rPr>
          <w:b/>
        </w:rPr>
        <w:t>E. 9.3.3</w:t>
      </w:r>
    </w:p>
    <w:p>
      <w:r>
        <w:t>Der eingehenden Begründung in der angefochtenen Verfügung, wonach der Wegweisungsvollzug des jungen, gesunden, über 11 Jahre Schulbildung sowie einige Arbeitserfahrung verfügenden und keinen familiären Verpflichtungen unterworfenen Beschwerdeführers zumutbar ist, setzt dieser auf Beschwerdeebene nichts Substanzielles entgegen. Sodann ist dem SEM auch darin zuzustimmen, dass gestützt auf die Akten davon auszugehen ist, der Beschwerdeführer habe im Heimatstaat namentlich für die Finanzierung und Organisation seiner Ausreise auf die Unterstützung seiner Familie zählen können. Folglich ist auch davon auszugehen, dass er bei einer Rückkehr in seinen Heimatstaat ein soziales Beziehungsnetz vorfinden wird und zumindest anfänglich von seinen Angehörigen Unterstützung zur Bestreitung seines Lebensunterhalts erhalten wird. Im Übrigen kann auf die zutreffenden vorinstanzlichen Erwägung verwiesen werden (angefochtene Verfügung, Ziff. III/2, S. 6-8).</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bereits geleistete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