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E-96/2014 vom 28. Februar 2014</w:t>
      </w:r>
    </w:p>
    <w:p>
      <w:r>
        <w:t>Bundesverwaltungsgericht, 2014-02-28, DE</w:t>
      </w:r>
    </w:p>
    <w:p>
      <w:r>
        <w:rPr>
          <w:b/>
        </w:rPr>
        <w:t xml:space="preserve">Quelle: </w:t>
      </w:r>
      <w:r>
        <w:t>https://mcp.opencaselaw.ch/entscheid/bvger_E-96_2014</w:t>
      </w:r>
    </w:p>
    <w:p>
      <w:r>
        <w:t>FR: TAF E-96/2014 du 28 février 2014</w:t>
      </w:r>
    </w:p>
    <w:p>
      <w:r>
        <w:t>IT: TAF E-96/2014 del 28 febbraio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vom 26. Juni 1998 [AsylG, SR 142.31]; Art. 83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Die Beschwerde ist nicht in einer Amtssprache des Bundes ab­gefasst. Auf die Ansetzung einer Frist zur Übersetzung kann jedoch aus prozessökonomischen Gründen verzichtet werden, da die englischsprachige Beschwerdeeingabe verständlich ist, so dass ohne weiteres darüber befunden werden kann. Der vorliegende Entscheid ergeht indessen in deutscher Sprache (Art. 33a Abs. 2 VwVG i.V.m. Art. 6 AsylG).</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bis auf den sprachlichen Mangel - formgerecht eingereichte Beschwerde ist einzutreten (Art. 108 AsylG sowie Art. 105 AsylG i.V.m. 37 VGG und Art. 48 Abs. 1 und Art. 52 VwVG).</w:t>
      </w:r>
    </w:p>
    <w:p>
      <w:r>
        <w:rPr>
          <w:b/>
        </w:rPr>
        <w:t>E. 2</w:t>
      </w:r>
    </w:p>
    <w:p>
      <w:r>
        <w:t>Die Kognition des Bundesverwaltungsgerichts und die zulässigen Rügen bestimmen sich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alt Art. 10 der Asylverordnung 1 vom 11. August 1999 über Verfahrensfragen (AsylV 1, SR 142.311) vor, dass diese mit der asylsuchenden Person in der Regel eine Befragung durchführt (alt Art. 10 Abs. 1 AsylV 1); dies ist vorliegend der Fall.</w:t>
      </w:r>
    </w:p>
    <w:p>
      <w:r>
        <w:rPr>
          <w:b/>
        </w:rPr>
        <w:t>E. 5.1</w:t>
      </w:r>
    </w:p>
    <w:p>
      <w:r>
        <w:t>Das BFM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den nachfolgenden Gründen ist die Einschätzung des BFM in der angefochtenen Verfügung, wonach sich aus den wesentlichen Vorbringen des Beschwerdeführers keine asylrelevante Gefährdungssituation seiner Person ergebe, zu bestätigen.</w:t>
      </w:r>
    </w:p>
    <w:p>
      <w:r>
        <w:rPr>
          <w:b/>
        </w:rPr>
        <w:t>E. 5.4</w:t>
      </w:r>
    </w:p>
    <w:p>
      <w:r>
        <w:t>Es ist mit der Argumentation in der vorinstanzlichen Verfügung einig zu gehen, dass nicht auszuschliessen ist, dass es sich bei den vom Beschwerdeführer geschilderten Vorfällen um Übergriffe Dritter handelt, der Einfluss der bewaffneten Gruppierungen in Sri Lanka seit dem Ende der Kriegshandlungen im Mai 2009 jedoch stark abgenommen hat. Auch hat die Vorinstanz zu Recht erwogen, dass nicht mehr von einer allgemeinen Unterstützung der bewaffneten Gruppierungen durch die srilankische Armee und die staatlichen Behörden auszugehen ist. Die vom Beschwerdeführer geltend gemachten Behelligungen sind in Berücksichtigung seiner persönlichen Situation mangels Intensität nicht als asylrelevant zu erachten. Es ist aufgrund der vorliegend konkreten Umstände von der Schutzfähigkeit des srilankischen Staates auszugehen, weshalb die Möglichkeit besteht, bei den zuständigen Behörden um Schutz vor Verfolgung seitens Dritter zu ersuchen. Vorliegend ergeben sich keine Anhaltspunkte auf eine Schutzunwilligkeit des srilankischen Staates. An dieser Einschätzung vermögen die Argumente in der Beschwerde, die sich in entscheidwesentlicher Hinsicht in einer Wiederholung der bereits im Rahmen des vorinstanzlichen Verfahrens geltend gemachten Vorbringen erschöpfen, nichts zu ändern. Das BFM kommt in der angefochtenen Verfügung zu Recht zum Schluss, dass der Beschwerdeführer kein Gefährdungsprofil aufweist, das ihn in seinem Heimatland zum aktuellen Zeitpunkt mit erheblicher Wahrscheinlichkeit ernsthaften Nachteilen im Sinne von Art. 3 AsylG aussetzen würde. 6.Somit kann der Beschwerdeführer keine aktuelle Gefährdung im Sinne von Art. 3 AsylG aufzeigen, welche die Bewilligung der Einreise in die Schweiz rechtfertigen würde. Die Schutzbedürftigkeit des Beschwerdeführers im Sinne von alt Art. 20 i.V.m. Art. 3 AsylG ist nicht gegeben. Im Übrigen ist auch eine Beziehungsnähe des Beschwerdeführers zur Schweiz im Sinne des Gesetzes und der Rechtsprechung zu verneinen (alt Art. 52 Abs. 2 AsylG). Das BFM hat dem Beschwerdeführer zu Recht die Einreise in die Schweiz nicht bewilligt und das Asylgesuch abgelehnt. Die Beschwerde ist daher abzuweisen. 7.Bei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