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E-967/2024 vom 6. Februar 2024</w:t>
      </w:r>
    </w:p>
    <w:p>
      <w:r>
        <w:t>Bundesverwaltungsgericht, 2024-02-06, DE</w:t>
      </w:r>
    </w:p>
    <w:p>
      <w:r>
        <w:rPr>
          <w:b/>
        </w:rPr>
        <w:t xml:space="preserve">Quelle: </w:t>
      </w:r>
      <w:r>
        <w:t>https://mcp.opencaselaw.ch/entscheid/bvger_E-967_2024_d20240206</w:t>
      </w:r>
    </w:p>
    <w:p>
      <w:r>
        <w:t>FR: TAF E-967/2024 du 6 février 2024</w:t>
      </w:r>
    </w:p>
    <w:p>
      <w:r>
        <w:t>IT: TAF E-967/2024 del 6 febbraio 2024</w:t>
      </w:r>
    </w:p>
    <w:p>
      <w:pPr>
        <w:pStyle w:val="Heading2"/>
      </w:pPr>
      <w:r>
        <w:t>Regeste</w:t>
      </w:r>
    </w:p>
    <w:p>
      <w:r>
        <w:t>Asyl und Wegweisung (beschleunigtes Verfahren) | Asyl und Wegweisung (beschleunigtes Verfahren); Verfügung des SEM vom 6. Februar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 fahren richtet sich nach dem VwVG, dem VGG und dem BGG, soweit das AsylG nichts anderes bestimmt (Art. 37 VGG und Art. 6 AsylG).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w:t>
      </w:r>
    </w:p>
    <w:p>
      <w:r>
        <w:t>E-967/2024 Seite 4 Richters beziehungsweise einer zweiten Richterin (Art. 111 Bst. e AsylG) ohne Durchführung eines Schriftenwechsels und mit summarischer Be- gründung zu behandeln (Art. 111a Abs. 1 und 2 AslyG).</w:t>
      </w:r>
    </w:p>
    <w:p>
      <w:r>
        <w:rPr>
          <w:b/>
        </w:rPr>
        <w:t>E. 3</w:t>
      </w:r>
    </w:p>
    <w:p>
      <w:r>
        <w:t>Soweit der Beschwerdeführer die formelle Rüge erhebt, der rechtserhebli- che Sachverhalt sei unvollständig und unrichtig abgeklärt worden, wird diese in der Beschwerde nicht weiter begründet. Im Übrigen ergeben sich aus den Akten keine Hinweise darauf, dass der rechtserhebliche Sachver- halt seitens der Vorinstanz nicht vollständig und richtig festgestellt wurde. Es besteht somit kein Anlass, die Sache aus formellen Gründen aufzuhe- ben und an die Vorinstanz zurückzuweisen. Das diesbezügliche Rechtsbe- gehren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 ihren Entscheid damit, der Beschwerdeführer habe keine Angaben darüber gemacht, dass er in seinem Heimatland je- mals explizit wegen seiner Religion benachteiligt worden sei. Es gäbe auch keine Hinweise darauf, dass er in Marokko aufgrund seiner Religion einer konkreten Gefahr ausgesetzt gewesen sei. Vielmehr habe er angegeben, dass er bezüglich seines christlichen Glaubens nie etwas Spezielles erlebt habe. Es bestehe somit kein begründeter Anlass zur Annahme, dass sich</w:t>
      </w:r>
    </w:p>
    <w:p>
      <w:r>
        <w:t>E-967/2024 Seite 5 aufgrund seines Glaubens in absehbarer Zukunft eine Verfolgungssituation verwirklichen würde. Betreffend seine sexuelle Orientierung sei festzustellen, dass homosexu- elle Handlungen in Marokko grundsätzlich illegal seien und mit einer Haft von bis zu drei Jahren bestraft werden könnten. Die strafrechtliche Bestim- mung von Art. 489 des marokkanischen Strafgesetzbuches werde jedoch pragmatisch angewandt. Anders als in den konservativeren ländlichen Ge- bieten Marokkos, wo eine gewisse Homophobie der dortigen Bevölkerung nicht in Abrede zu stellen sei, stelle sich die Situation in den grösseren Städten des Landes (wozu auch sein Heimatort B._______ zähle) weitaus offener dar. So gäbe es für Homosexuelle zahlreiche Treffpunkte und Bars, wo sie sich auch – von privaten Dritten unbehelligt – treffen könnten. Ho- mosexuelle Personen oder Paare würden – wie im Urteil des BVGer D-3969/2018 vom 26. August 2019 (E. 5.2) festgehalten – nur dann eine Festnahme riskieren, wenn sie im öffentlichen Raum intim werden oder durch „provozierendes Verhalten“ Passanten und Nachbarn auf sich auf- merksam machen würden. Diese Einschätzung decke sich mit den Anga- ben des Beschwerdeführers, der bezüglich seiner Homosexualität, welche er in seiner Heimat im «Untergrund» ausgelebt habe, nie angegriffen oder von der marokkanischen Polizei oder von anderen Behörden kontaktiert worden sei. Er habe seine Befürchtungen, dass er aufgrund seiner Homo- sexualität in seiner Heimat sein Leben riskieren würde, nicht näher ausfüh- ren oder belegen können. Es sei nicht ersichtlich, weshalb er um sein Le- ben fürchten müsse, da er in Marokko aufgrund seiner sexuellen Orientie- rung nie Probleme gehabt habe. Insgesamt genüge das blosse Bestehen von Straftatbeständen nicht für eine objektiv begründete Furcht. Es bestehe somit kein begründeter Anlass zur Annahme, dass er aufgrund seines Glaubens und seiner Homosexua- lität in seinem Heimatland ernsthaften Nachteilen im Sinne von Art. 3 AsylG ausgesetzt werden könnte.</w:t>
      </w:r>
    </w:p>
    <w:p>
      <w:r>
        <w:rPr>
          <w:b/>
        </w:rPr>
        <w:t>E. 5.2</w:t>
      </w:r>
    </w:p>
    <w:p>
      <w:r>
        <w:t>Der Beschwerdeführer bringt in seiner Rechtsmitteleingabe vor, er praktiziere das Christentum und sei bisexuell. Aufgrund seines Glaubens befürchte er in seinem Heimatland, insbesondere während des Ramadans, von extremen Islamisten angegriffen zu werden. Art. 489 des marokkani- schen Strafgesetzbuches, welcher homosexuelle Handlungen pönalisiere, werde in der Praxis in Marokko angewandt. Deshalb könne er gegen die ihm in seinem Heimatland drohenden privaten Übergriffe keine Anzeige bei der Polizei erstatten, da der Staat so von seiner sexuellen Orientierung</w:t>
      </w:r>
    </w:p>
    <w:p>
      <w:r>
        <w:t>E-967/2024 Seite 6 erfahren würde, womit ihm eine Strafe drohen würde. Folglich müsste er, aufgrund der ständigen Angst vor Übergriffen von Privatpersonen als auch durch staatliche Organe, seine Homosexualität verheimlichen, was zu ei- nem unerträglichen psychischen Druck führe. Zudem würden homosexu- elle Personen in Marokko diskriminiert. So würden sie keine Arbeit finden und hätten keinen Zugang zu medizinischer Versorgung und psychologi- scher Unterstützung. Ausserdem würde ihn seine Familie verstossen. Es würden ihm somit ernsthafte Nachteile im Sinne von Art. 3 AsylG drohen.</w:t>
      </w:r>
    </w:p>
    <w:p>
      <w:r>
        <w:rPr>
          <w:b/>
        </w:rPr>
        <w:t>E. 6.1</w:t>
      </w:r>
    </w:p>
    <w:p>
      <w:r>
        <w:t>Nach Prüfung der Akten kommt das Bundesverwaltungsgericht im vor- liegenden Verfahren zum Schluss, dass die vorinstanzliche Verfügung zu bestätigen ist, wonach die Vorbringen des Beschwerdeführers nicht asyl- relevant sind. Zur Vermeidung von Wiederholungen kann vorab auf die zu- treffenden Erwägungen der Vorinstanz verwiesen werden.</w:t>
      </w:r>
    </w:p>
    <w:p>
      <w:r>
        <w:rPr>
          <w:b/>
        </w:rPr>
        <w:t>E. 6.2</w:t>
      </w:r>
    </w:p>
    <w:p>
      <w:r>
        <w:t>Der Beschwerdeführer machte hauptsächlich Probleme im Zusammen- hang mit seinem Glauben und seiner Homo- respektive Bisexualität gel- tend. Bezüglich des christlichen Glaubens des Beschwerdeführers ist zunächst darauf hinzuweisen, dass gemäss der marokkanischen Verfassung der Is- lam zwar Staatsreligion ist, der Staat jedoch die freie Ausübung jeden Kul- tes garantiert und die Glaubens- und Gewissensfreiheit gewährleistet (Art. 3 und 25 der marokkanischen Verfassung, abrufbar unter &lt;http://www.sgg.gov.ma/Portals/0/constitution/constitution_2011_Fr.pdf&gt;; abgerufen am 19. Februar 2024). Der Vorinstanz ist ferner darin zuzustim- men, dass der Beschwerdeführer gemäss seinen eigenen Aussagen in Ma- rokko aufgrund seines Glaubens "nichts Spezielles" erlebt habe (vgl. elekt- ronische SEM-Akte […]-16/9 [nachfolgend A16] F58). Es bestehen somit keine Hinweise dafür, dass er in Marokko wegen seiner Religion Nachteile erlebt hat oder einer konkreten Verfolgung ausgesetzt war. Sodann vermag er nicht aufzuzeigen, inwiefern ihm persönlich aufgrund seiner Religion eine asylrelevante Verfolgung in Marokko droht. Entgegen seiner Auffas- sung in der Stellungnahme vom 2. Februar 2024 (vgl. SEM-Akte A30) ist Apostasie respektive Konversion in Marokko – anders als Missionarstätig- keit – nicht unter Strafe gestellt (US Department of State, 2022 Report on International Religious Freedom: Morocco, abrufbar unter &lt;https://www.state.gov/reports/2022-report-on-international-religious-free- dom/morocco&gt;; abgerufen am 19. Februar 2024). Selbst wenn bei Be- kanntwerden der Konversion zum christlichen Glauben mit</w:t>
      </w:r>
    </w:p>
    <w:p>
      <w:r>
        <w:t>E-967/2024 Seite 7 Diskriminierungen seitens der marokkanischen Gesellschaft gerechnet werden muss, erreicht diese nicht die in Art. 3 AsylG geforderte Intensität (vgl. zur Situation der Christinnen und Christen und insb. marokkanischer Konvertiten die Urteile des BVGer D-7203/2014 vom 7. Dezember 2017 E. 6.2.3 und E. 6.5 sowie D-6608/2017 vom 18. Dezember 2017 E. 5.2 so- wie auch das Urteil des Oberveraltungsgerichts für das Land Nordrhein- Westfalen 1 A 4920/18.A vom 2. Juli 2019). Weiter stellte die Vorinstanz zu Recht fest, dass der Beschwerdeführer nicht behauptet hat, in seinem Heimatland von den marokkanischen Be- hörden aufgrund seiner Homo- respektive Bisexualität irgendwelche Be- helligungen oder Nachteile erlitten zu haben (A16 F61). Überdies ist voll- umfänglich auf die zutreffenden Ausführungen der Vorinstanz zu verwei- sen, wonach in Marokko grundsätzlich nicht mit asylrelevanter Verfolgung aufgrund des Bekanntwerdens einer homosexuellen Orientierung zu rech- nen ist. Auch der soziale Druck, welchem homosexuelle Personen dort un- ter Umständen ausgesetzt sind, vermag grundsätzlich nicht die von Art. 3 Abs. 2 AsylG geforderte Intensität zu erreichen; mithin ist auch ein uner- träglicher psychischer Druck, welchem der Beschwerdeführer nur durch Verlassen seines Heimatstaates hätte entkommen können, zu verneinen (vgl. Urteile des BVGer D-4062/2020 vom 10. Februar 2021 E. 5.5; D-3969/2018 vom 26. August 2019 E. 5.2). Der Beschwerdeführer vermag dieser Einschätzung in der Beschwerde nichts entgegenzusetzen. Schliesslich gab er in der Anhörung selber an, er habe bei einer Rückkehr nach Marokko "nichts Spezielles" zu befürchten (A16 F66).</w:t>
      </w:r>
    </w:p>
    <w:p>
      <w:r>
        <w:rPr>
          <w:b/>
        </w:rPr>
        <w:t>E. 6.3</w:t>
      </w:r>
    </w:p>
    <w:p>
      <w:r>
        <w:t>Zusammenfassend ist es dem Beschwerdeführer nicht gelungen, eine asylrelevante Verfolgung nachzuweisen oder zumindest glaubhaft zu ma- chen und es besteht auch kein Hinweis darauf, dass ihm eine künftige asyl- relevante Verfolgung drohen würde. Die Vorinstanz hat das Asylgesuch des Beschwerdeführers somit zu Recht abgelehnt.</w:t>
      </w:r>
    </w:p>
    <w:p>
      <w:r>
        <w:rPr>
          <w:b/>
        </w:rPr>
        <w:t>E. 7</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2013/37 E. 4.4). Die Wegweisung wurde zu Recht angeordnet.</w:t>
      </w:r>
    </w:p>
    <w:p>
      <w:r>
        <w:t>E-967/2024 Seite 8</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 liche Verpflichtungen der Schweiz einer Weiterreise der Ausländerin oder des Ausländers in den Heimat-, Herkunfts- oder einen Drittstaat entgegen- stehen. Vorliegend kommt dem Beschwerdeführer keine Flüchtlingseigenschaft zu. Das flüchtlingsrechtliche Rückschiebungsverbot von Art. 33 Abs. 1 des Ab- kommens vom 28. Juli 1951 über die Rechtsstellung der Flüchtlinge (FK, SR 0.142.30) und Art. 5 AsylG ist daher nicht anwendbar. Die Zulässigkeit des Vollzugs beurteilt sich vielmehr nach den allgemeinen verfassungs- und völkerrechtlichen Bestimmungen (Art. 25 Abs. 3 BV; Art. 3 des Über- einkommens vom 10. Dezember 1984 gegen Folter und andere grausame, unmenschliche oder erniedrigende Behandlung oder Strafe [FoK, SR 0.105]; Art. 3 EMRK). Aus den Akten ergeben sich keine konkreten An- haltspunkte dafür, dass der Beschwerdeführer für den Fall einer Ausschaf- fung nach Marokko dort mit beachtlicher Wahrscheinlichkeit einer nach Art. 3 EMRK oder Art. 1 FoK verbotenen Strafe oder Behandlung ausge- setzt wäre. Der Vollzug der Wegweisung ist demnach zulässig.</w:t>
      </w:r>
    </w:p>
    <w:p>
      <w:r>
        <w:rPr>
          <w:b/>
        </w:rPr>
        <w:t>E. 8.3</w:t>
      </w:r>
    </w:p>
    <w:p>
      <w:r>
        <w:t>Nach Art. 83 Abs. 4 AIG kann der Vollzug für Ausländerinnen und Aus- länder unzumutbar sein, wenn sie im Heimat- oder Herkunftsstaat auf Grund von Situationen wie Krieg, Bürgerkrieg, allgemeiner Gewalt und me- dizinischer Notlage konkret gefährdet sind.</w:t>
      </w:r>
    </w:p>
    <w:p>
      <w:r>
        <w:rPr>
          <w:b/>
        </w:rPr>
        <w:t>E. 8.4</w:t>
      </w:r>
    </w:p>
    <w:p>
      <w:r>
        <w:t>Unter Berücksichtigung der aktuellen Sicherheitslage und der Men- schenrechtssituation in Marokko sowie der allgemeinen Lebensumstände sind keine Hinweise dafür ersichtlich, dass die Rückkehr des Beschwerde- führers in seinen Heimatstaat unzumutbar wäre. Eine Situation allgemeiner Gewalt oder kriegerischer oder bürgerkriegsähnlicher Verhältnisse liegt in Marokko nicht vor. Bezüglich der individuellen Situation des Beschwerde- führers ist darauf hinzuweisen, dass dieser jung und gesund ist und über eine universitäre Ausbildung verfügt. Er hielt sich mehrere Jahre in C._______ auf und schloss dort eine Weiterbildung im Internetbereich ab.</w:t>
      </w:r>
    </w:p>
    <w:p>
      <w:r>
        <w:t>E-967/2024 Seite 9 Zudem arbeitete er in C._______ als (…) und konnte somit selbständig seinen Lebensunterhalt bestreiten. Seine Einwände in der Beschwerde, bei einer Rückkehr nach Marokko würde er trotz seiner universitären Aus- bildung in wirtschaftliche Not geraten, gehen damit fehl (Beschwerde S. 4). In der Anhörung gibt er selber an, dass er in Marokko die Möglichkeit habe, mit seinem Diplom eine gute Arbeitsstelle zu bekommen und gut zu verdie- nen (A16 F52). Zudem verfügt er über ein intaktes Beziehungsnetz (A16 F32 sowie F63), das in der Lage sein sollte, ihn bei der Wiedereingliede- rung zu unterstützen. Darüber hinaus besitzen seine Eltern zwei Häuser. Damit ist davon auszugehen, dass bei der Rückkehr auch seine Wohnsitu- ation geregelt ist. Der Vollzug der Wegweisung erweist sich demnach auch in individueller Hinsicht als zumutbar.</w:t>
      </w:r>
    </w:p>
    <w:p>
      <w:r>
        <w:rPr>
          <w:b/>
        </w:rPr>
        <w:t>E. 8.5</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8.6</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gestellten Rechtsbegehren erweisen sich als aussichtslos, wes- halb das Gesuch um unentgeltliche Prozessführung ungeachtet einer all- fälligen prozessualen Bedürftigkeit abzuweisen sind (Art. 65 Abs. 1 VwVG).</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 Das Gesuch um Verzicht auf Erhebung eines Kostenvorschusses ist mit vorliegendem Urteil gegenstandslos geworden. (Dispositiv nächste Seite)</w:t>
      </w:r>
    </w:p>
    <w:p>
      <w:r>
        <w:t>E-967/2024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