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E-966/2010 vom 29. August 2011</w:t>
      </w:r>
    </w:p>
    <w:p>
      <w:r>
        <w:t>Bundesverwaltungsgericht, 2011-08-29, DE</w:t>
      </w:r>
    </w:p>
    <w:p>
      <w:r>
        <w:rPr>
          <w:b/>
        </w:rPr>
        <w:t xml:space="preserve">Quelle: </w:t>
      </w:r>
      <w:r>
        <w:t>https://mcp.opencaselaw.ch/entscheid/bvger_E-966_2010</w:t>
      </w:r>
    </w:p>
    <w:p>
      <w:r>
        <w:t>FR: TAF E-966/2010 du 29 août 2011</w:t>
      </w:r>
    </w:p>
    <w:p>
      <w:r>
        <w:t>IT: TAF E-966/2010 del 29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Auf die Durchführung eines Schriftenwechsels wurde vorliegend verzichtet (vgl.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mit weiteren Hinweisen). 4.Das BFM hielt die Sachverhaltsdarstellung des Beschwerdeführers für nicht glaubhaft, weil es an seinen Ausführungen Realitätskennzeichen vermisste, wie etwa detaillierte Schilderung, ein freies assoziatives Erzählen, Interaktionsschilderung (z.B. Dialoge) oder inhaltliche Besonderheiten. Das BFM stellte fest, dass Realitätskennzeichen solcher Art bei der Schilderung der Asylgründe vollständig fehlten, die Aussagen des Beschwerdeführers wiesen keinerlei Detailreichtum auf und es fehlten individualisierte Aussagen, welche seine persönliche Betroffenheit oder ein individualisiertes Reaktionsmuster zum Ausdruck bringen würden. Ausserdem wies das BFM auf verschiedene Widersprüche zwischen Aussagen, die bei der Befragung zur Person gemacht wurden, und solchen anlässlich der Anhörung gemäss Art. 29 AsylG hin. Für den Inhalt dieser Widersprüche wird auf die Ausführungen in der vorinstanzlichen Verfügung verwiesen. Den Wahrheitsgehalt wesentlicher Vorbringen zog die Vorinstanz auch deshalb in Zweifel, weil sie ohne zwingenden Grund erst im späteren Verlauf des Verfahrens geltend gemacht worden seien und dabei nicht lediglich Konkretisierungen bereits dargelegter Ereignisse darstellten. So wies sie darauf hin, dass der Beschwerdeführer in der EVZ-Befragung angegeben habe, sein Stiefvater habe ihn misshandelt, mehrmals geschlagen und (...) verbrannt, bei der Anhörung dagegen weitere, schwere Misshandlungen vorgebracht habe, nämlich sein Stiefvater habe ihn einmal mit einem Stück Holz auf den Kopf geschlagen, so dass er über mehrere Stunden bewusstlos gewesen sei, und habe ihn einmal vom Dach gestossen, so dass er sich an (...) Verletzungen zugezogen habe. Für das BFM war nicht ersichtlich, aus welchem Grunde der Beschwerdeführer diese schwerwiegenden Misshandlungen in der ersten Befragung nicht hätte angeben sollen. Es ging daher davon aus, dass es sich dabei um nachgeschobene Vorbringen handle, mit denen der Beschwerdeführer seinen Asylgründen mehr Gewicht zu verleihen versucht habe.</w:t>
      </w:r>
    </w:p>
    <w:p>
      <w:r>
        <w:rPr>
          <w:b/>
        </w:rPr>
        <w:t>E. 5.1</w:t>
      </w:r>
    </w:p>
    <w:p>
      <w:r>
        <w:t>Der Beschwerdeführer macht in seiner Rechtsmitteleingabe geltend, er habe als typisches Symptom seines Traumas eine Vermeidungsstrategie verfolgt, ferner sei es ihm aufgrund fehlender Schulbildung, seiner familiären Umstände und aus Schamgefühl schwergefallen, über seine Erlebnisse mit Fremden zu sprechen; die Narben und die Verbrennungen seien überdies klar sichtbarer Beweis für die Misshandlungen. Diese Erklärungsversuche vermögen die vom BFM angeführten Zweifel an der Glaubhaftigkeit nicht gänzlich auszuräumen. Die Durchsicht der Befragungsprotokolle vermittelt auch dem Bundesverwaltungsgericht das Bild wenig substanziierter Aussagen, die den Eindruck persönlicher Betroffenheit vermissen lassen. Den Verbrennungswunden und Narben als solchen kommt zudem geringe Beweiskraft zu, da sie keinen Aufschluss darüber geben, auf welche Weise und durch wen sie entstanden sind. Im Übrigen kann von einem Asylsuchenden erfahrungsgemäss erwartet werden, dass er alle seine Gründe, die ihn zur Ausreise aus seinem Heimatland gezwungen haben, mindestens ansatzweise bereits in der Erstbefragung vorträgt und in der Lage ist, bei den Anhörungen auf eine seinem Bildungsgrad entsprechende Weise darüber im Wesentlichen widerspruchsfrei zu berichten. Letztlich kann indessen die Frage der Glaubhaftigkeit der geltend gemachten Behelligungen durch den Stiefvater offen gelassen werden. Denn selbst wenn den Vorbringen des Beschwerdeführers Glauben geschenkt wird, müsste dies, wie nachfolgend aufzuzeigen ist, zur Verneinung seiner Flüchtlingseigenschaft führen, da die Vorbringen gemäss Art. 3 AsylG nicht asylrelevant sind. So wird als Flüchtling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Grundsätzlich muss eine Verfolgung solcher Art dem Staat zurechenbar sein, um die Flüchtlingseigenschaft zu begründen. Unter Umständen kann die Flüchtlingseigenschaft auch dann erfüllt sein, wenn eine Verfolgung von nichtstaatlicher Seite geltend gemacht wird. Dies gilt dann, wenn der betreffende Staat weder fähig noch willens ist, dem Verfolgten ausreichenden Schutz zu gewähren. 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[damaligen] Schweizerischen Asylrekurskommission (ARK) in EMARK 1995 Nr. 2 E. 3a, 2006 Nr. 18 E. 7-10 und Nr. 32 E. 8.7). Massgeblich für die Beurteilung der Flüchtlingseigenschaft nach Art. 3 AsylG ist schliesslich nicht die Situation zum Zeitpunkt der Ausreise, sondern die Situation zum Zeitpunkt des Asylentscheides, wobei allerdings erlittene Verfolgung oder begründete Furcht vor Verfolgung im Zeitpunkt der Ausreise Hinweis auf weiterbestehende Gefährdung sein kann (BVGE 2008/4 E. 5.4 mit weiteren Hinweisen). Vorliegend macht der Beschwerdeführer weder eine Verfolgung von staatlicher Seite noch eine solche aus den oben angeführten asylrelevanten Gründen geltend. Vielmehr beschreiben seine Vorbringen eine Verfolgung von einem Privatmann aus rein privaten Gründen. Ein Verfolgungsmotiv aus einem der in Art. 3 Abs. 1 AsylG aufgezählten Gründe lässt sich mithin nicht erkennen. Der Vollständigkeit halber ist festzustellen, dass die Frage, ob der afghanische Staat zum gegebenen Zeitpunkt über eine derart geringe Schutzfähigkeit verfügt, dass eine Verfolgung durch einen Einzelnen ausreicht, um den in den oben zitierten Entscheiden dargelegten Voraussetzungen zur Erfüllung der Flüchtlingseigenschaft zu entsprechen, offen gelassen werden kann, zumal auch die Aktualität der Verfolgung zu verneinen ist. Denn selbst wenn bei einem Minderjährigen, der im Haushalt seines Stiefvaters wohnt, eine Verfolgung durch jenen zum Zeitpunkt der Ausreise aus Afghanistan bejaht würde, hätte sich die Lage für den Beschwerdeführer, welcher zwischenzeitlich volljährig geworden ist und einen eigenen Hausstand begründen kann, grundlegend gewandelt. Zum heutigen Zeitpunkt ist daher nicht mehr davon auszugehen, dass er sich bei einer Rückkehr nach Afghanistan in Abhängigkeit seines Stiefvaters begeben und von ihm Behelligungen erdulden müsste. Es erübrigt sich nach dem Gesagten, auf die Ausführungen des Beschwerdeführers auf Beschwerdeebene noch näher einzugehen, da sie an diesen Schlussfolgerungen nichts zu ändern vermögen. Das BFM hat das Asylgesuch des Beschwerdeführers demnach zu Recht abgelehnt.</w:t>
      </w:r>
    </w:p>
    <w:p>
      <w:r>
        <w:rPr>
          <w:b/>
        </w:rPr>
        <w:t>E. 6.1</w:t>
      </w:r>
    </w:p>
    <w:p>
      <w:r>
        <w:t>Lehnt das Bundesamt das Asylgesuch ab oder tritt es darauf nicht ein, verfügt es in der Regel die Wegweisung aus der Schweiz (Art. 44 Abs. 1 AsylG). Die Wegweisung wird nicht verfügt, wenn die asylsu­chende Person im Besitz einer gültigen Aufenthalts- oder Niederlassungs­bewilligung ist oder Anspruch darauf hat. Da der Beschwerdeführer weder im Besitz einer aufenthaltsrechtlichen Bewilligung ist noch einen Anspruch darauf hat, wurde die Wegweisung vom BFM zu Recht verfügt.</w:t>
      </w:r>
    </w:p>
    <w:p>
      <w:r>
        <w:rPr>
          <w:b/>
        </w:rPr>
        <w:t>E. 6.2</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dazu BVGE 2009/51 E. 5.4 mit weiteren Hinweisen). Gegen eine allfällige spätere Aufhebung der vorläufigen Aufnahme würde der betroffenen asylsuchenden Person wieder die Beschwerde an das Bundesverwaltungsgericht offen stehen (vgl. Art. 105 AsylG i.V.m. Art. 44 Abs. 2 AsylG), wobei in einem Aufhebungsverfahren alle Vollzugshindernisse von Amtes wegen nach Massgabe der in diesem Zeitpunkt herrschenden Verhältnisse erneut zu prüfen wären (vgl. EMARK 2006 Nr. 6 E. 4.2, EMARK 1997 Nr. 27). Der Vollzug der Wegweisung erweist sich für Ausländerinnen oder Ausländer als unzumutbar, wenn sie im Heimat- oder Herkunftsstaat auf Grund von Situationen wie Krieg, Bürgerkrieg, allgemeiner Gewalt oder medizinischer Notlage allgemein gefährdet sind (Art. 83 Abs. 4 AuG). Wird eine konkrete Gefährdung festgestellt, ist - unter Vorbehalt von Art. 83 Abs. 7 AuG - die vorläufige Aufnahme zu gewähren (vgl. Botschaft zum Bundesgesetz über die Ausländerinnen und Ausländer vom 8. März 2002, BBl 2002 3818). Weil sich vorliegend der Vollzug der Wegweisung - aus den nachfolgend aufgezeigten Gründen - als unzumutbar erweist, kann von einer Erörterung der übrigen Voraussetzungen eines rechtmässigen Wegwei­sungsvollzugs abgesehen werden. 7.Das BFM räumte ein, dass die allgemeine Sicherheitslage in Afghanistan angespannt sei, die aufständischen Kräfte ihre Tätigkeit verstärkt hätten und ihren Einfluss in den südlichen und südöstlichen Provinzen sowie teilweise im Norden und Westen des Landes hätten ausdehnen können. Die internationale Truppenpräsenz sei zahlenmässig zu schwach vertreten, als dass sie flächendeckend wirksam wäre. Ausserdem hätten sich in vielen Regionen funktionierende staatliche Strukturen noch kaum entwickeln können. Trotzdem ging das BFM davon aus, dass nicht von einer konkreten Gefährdung der gesamten Bevölkerung in Afghanistan oder eine Situation allgemeiner Gewalt im Sinne von Art. 83 Abs. 4 AuG ausgegangen werden könne. Die Vorinstanz stufte trotz vereinzelter Anschläge die Lage in den nördlichen Provinzen wie etwa Parwan sowie in Kabul und weiteren Landesteilen als weiterhin vergleichsweise sicher ein. Von einer permanent instabilen Lage könne nicht gesprochen werden. Zudem verneinte es das Vorliegen individueller Gründe, die gegen die Zumutbarkeit des Wegweisungsvollzugs des Beschwerdeführers sprächen, zumal er zuletzt in der Provinz Parwan wohnhaft gewesen sei und über einen Onkel in Kabul verfüge. Da seine Vorbringen bezüglich seines Stiefvaters nicht geglaubt werden könnten, sei von einem intakten sozialen Beziehungsnetz auszugehen.</w:t>
      </w:r>
    </w:p>
    <w:p>
      <w:r>
        <w:rPr>
          <w:b/>
        </w:rPr>
        <w:t>E. 8</w:t>
      </w:r>
    </w:p>
    <w:p>
      <w:r>
        <w:t>Die ARK setzte sich in EMARK 2003 Nr. 10 einlässlich mit der damaligen Lage in Afghanistan, insbesondere in der Hauptstadt Kabul, auseinander und umschrieb in EMARK 2003 Nr. 30 die Mindestanforderungen für die Durchführung eines Wegweisungsvollzugs nach Afghanistan. Infolge der damals im Vergleich zu anderen Regionen etwas günstigeren Situation erachtete die ARK den Wegweisungsvollzug nach Kabul unter bestimmten strengen Voraussetzungen, namentlich einem tragfähigen Beziehungsnetz und einer gesicherten Wohnsituation, als zumutbar. In EMARK 2006 Nr. 9 ergänzte sie ihre Rechtsprechung aus dem Jahr 2003 und bezeichnete auch den Wegweisungsvollzug in diejenigen Regionen Afghanistans, in welchen seit 2004 keine signifikanten militärischen Aktivitäten stattgefunden hatten (namentlich die Provinzen Parwan, Baghlan, Takhar, Badakhshan, Kunduz, Balkh, Sari Pul, Herat und der Teil der Gegend von Samangan, der nicht zum Hazarajat gehört), als grundsätzlich zumutbar. In den anderen östlichen, südlichen und südöstlichen Provinzen bestehe hingegen weiterhin eine allgemeine Gewaltsituation, weshalb der Wegweisungsvollzug dorthin als grundsätzlich unzumutbar zu betrachten sei. Seit der von der ARK festgelegten Praxis, welche vom Bundes­verwaltungsgericht weitergeführt wurde, hat sich die Sicherheitslage in fast allen Teilen Afghanistans verschlechtert. In mehreren der vormals von der ARK für eine Rückkehr noch als vergleichsweise sicher eingestuften Provinzen und auch in der Hauptstadt Kabul hat die Gefährdung der Zivilbevölkerung, namentlich als Folge der erstarkten Taliban und ihrer zahlreichen Angriffe, zugenommen. Die blutigen Gewaltaktionen reissen in Afghanistan nicht ab, und die Sicherheitslage bleibt in den meisten Gebieten des Landes prekär, was ansatzweise aus den regelmässigen Medienberichten betreffend Kampfeinsätze, Verlustmeldungen von Angehörigen der Schutztruppen, zivile Opfer und landesweit verübte Anschläge hervorgeht. Im zur Publikation vorgesehenen Grundsatzurteil des Bundesverwaltungsgerichts BVGE E-7625/2008 vom 16. Juni 2011 hat sich das Bundesverwaltungsgericht erneut einlässlich mit der Sicherheitslage in Afghanistan auseinandergesetzt und befunden, dass aufgrund der jüngsten Verschlechterung der Sicherheits- und Versorgungslage auch der Wegweisungsvollzug in vormals noch als vergleichsweise sicher eingestufte Provinzen, darunter Parwan, inzwischen nicht mehr zumutbar ist. Unter strengen Voraussetzungen (BVGE E-7625/2008, E. 9.9.2 mit Verweis auf EMARK 2003 Nr. 10 E. 10 cc) hat es einzig den Vollzug nach Kabul gegebenenfalls als zumutbar erachtet (und diese Frage bezüglich anderer Grossstädte Afghanistans vorderhand offen gelassen).</w:t>
      </w:r>
    </w:p>
    <w:p>
      <w:r>
        <w:rPr>
          <w:b/>
        </w:rPr>
        <w:t>E. 9</w:t>
      </w:r>
    </w:p>
    <w:p>
      <w:r>
        <w:t>Die Auffassung des BFM, wonach der Beschwerdeführer über ein tragfähiges Beziehungsnetz verfüge, weshalb ihm diesbezüglich keine Nachteile in Afghanistan drohten, beruht auf Spekulation. Abgesehen von den nächsten Angehörigen in der Provinz Parwan, ist lediglich (...) in Kabul aktenkundig, bei welchem der Beschwerdeführer eigenen Angaben zufolge wenige Nächte blieb und der ihm bei der Ausreise aus Afghanistan behilflich war. Damit kann in der hier vorliegenden Konstellation entgegen der Auffassung des BFM nicht mit genügender Wahrscheinlichkeit auf eine ausreichende Tragfähigkeit des Beziehungsnetzes in Kabul geschlossen werden. Der Umstand, dass gewisse Zweifel an der Glaubhaftigkeit der zentralen Asylangaben bestehen, spielt für die Beantwortung der Frage der Zumutbarkeit des Wegweisungsvollzugs nach Afghanistan insofern keine Rolle, als das BFM jedenfalls seine Herkunft aus der Provinz Parwan nicht in Frage stellte und auch für das Bundesverwaltungsgericht keine Veranlassung besteht, dies zu tun. Dass seit der Ausreise aus Afghanistan mehrere Jahre verflossen sind, würde die Anknüpfung an alte Beziehungen und ein Appellieren an familiäre und freundschaftliche Unterstützungspflichten nicht einfacher machen. Eine allfällige Benötigung psychotherapeutischer und medikamentöser Hilfe (der Beschwerdeführer befand sich aktenkundigerweise bis zum Juni 2010 wegen Vorliegens einer (...) in entsprechender Behandlung) würden den Aufbau einer Existenzgrundlage überdies noch zusätzlich erschweren. In Berücksichtigung der gesamten Umstände ist somit ein Wegwei­sungsvollzug nach Afghanistan als nicht zumutbar zu erachten. 10.Die Beschwerde ist somit bezüglich des Wegweisungsvollzugs gutzuheissen und die Dispositivziffern 4 und 5 der angefochtenen Verfügung sind aufzuheben. Im Übrigen ist die Beschwerde abzuweisen. Das BFM ist anzuweisen, den Beschwerdeführer wegen Unzumutbarkeit des Wegweisungsvollzugs in der Schweiz vorläufig auf­zunehmen (vgl. Art. 44 Abs. 2 AsylG und Art. 83 AuG). 11.Gemäss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 und deshalb kaum als ernsthaft bezeichnet werden können (vgl. BGE 128 I 235 E. 2.5.3 S. 235 f., BGE 125 II 265 E. 4b S. 275). Für die Beurteilung der Prozesschancen ist eine summarische Prüfung vorzunehmen. Die Bedürftigkeit des Beschwerdeführers ergibt sich aus der eingereichten Fürsorgebestätigung vom 8. Februar 2010. Die Rechtsbegehren erschienen zudem nicht als aussichtslos. Das Gesuch um Gewährung der unentgeltlichen Rechtspflege im Sinne von Art. 65 Abs. 1 VwVG ist somit gutzuheissen. Auf die Erhebung von Verfahrenskosten ist daher zu verzichten.</w:t>
      </w:r>
    </w:p>
    <w:p>
      <w:r>
        <w:rPr>
          <w:b/>
        </w:rPr>
        <w:t>E. 12</w:t>
      </w:r>
    </w:p>
    <w:p>
      <w:r>
        <w:t>Nachdem der Beschwerdeführer im Punkt des Wegweisungsvollzugs -insofern teilweise - obsiegt hat, ist ihm eine angemessene, um die Hälfte reduzierte Parteientschädigung zu entrichten (vgl. Art. 64 Abs. 1 VwVG i.V.m. Art. 37 VGG; Art. 7 ff. des Reglements vom 21. Februar 2008 über die Kosten und Entschädigungen vor dem Bundesverwaltungsgericht [VGKE, SR 173.320.2]). Mit Eingabe vom 17. Februar 2010 reichte die Rechtsvertreterin des Beschwerdeführers beim Bundesverwaltungsgericht eine Kostennote ein, in der sie für das Beschwerdeverfahren einen Arbeitsaufwand von 11.5 Stunden à Fr. 150.- bzw. insgesamt Fr. 1'725.- ausweist. Dieser Vertretungsaufwand ist im Vergleich mit gleichgelagerten Fällen als leicht überhöht zu beurteilen. Unter Berücksichtigung der massgebenden Berechnungsfaktoren (Art. 7-13 VGKE) erscheint ein Zeitaufwand von 7 Stunden als angemessen, weshalb die Vertretungskosten auf Fr. 1'050.- (inkl. Auslagen, ohne Mehrwertsteuer) festzusetzen sind und die Parteientschädigung - um die Hälfte gekürzt - auf Fr. 525.- festzulegen ist.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