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E-9656/2025 vom 5. Januar 2026</w:t>
      </w:r>
    </w:p>
    <w:p>
      <w:r>
        <w:t>Bundesverwaltungsgericht, 2026-01-05, DE</w:t>
      </w:r>
    </w:p>
    <w:p>
      <w:r>
        <w:rPr>
          <w:b/>
        </w:rPr>
        <w:t xml:space="preserve">Quelle: </w:t>
      </w:r>
      <w:r>
        <w:t>https://mcp.opencaselaw.ch/entscheid/bvger_E-9656_2025</w:t>
      </w:r>
    </w:p>
    <w:p>
      <w:r>
        <w:t>FR: TAF E-9656/2025 du 5 janvier 2026</w:t>
      </w:r>
    </w:p>
    <w:p>
      <w:r>
        <w:t>IT: TAF E-9656/2025 del 5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i.V.m. Art. 31-33 VGG). Das Verfahren richtet sich nach dem VwVG, dem VGG und dem BGG, soweit das AsylG nichts anderes bestimmt (Art. 37 VGG und Art. 6 AsylG).</w:t>
      </w:r>
    </w:p>
    <w:p>
      <w:r>
        <w:rPr>
          <w:b/>
        </w:rPr>
        <w:t>E. 1.2</w:t>
      </w:r>
    </w:p>
    <w:p>
      <w:r>
        <w:t>Der Beschwerdeführer ist zur Beschwerdeführung legitimiert (Art. 105 AsylG i.V.m. Art. 37 VGG und Art. 48 Abs. 1 VwVG). Auf die frist- und form-gerecht eingereichte Beschwerde ist einzutreten (Art. 108 Abs. 3 AsylG; Art. 105 AsylG i.V.m. Art. 37 VGG und Art. 52 Abs. 1 VwVG).</w:t>
      </w:r>
    </w:p>
    <w:p>
      <w:r>
        <w:rPr>
          <w:b/>
        </w:rPr>
        <w:t>E. 2</w:t>
      </w:r>
    </w:p>
    <w:p>
      <w:r>
        <w:t>Die Beschwerde beschränkt sich ausweislich der Anträge und Begründung auf die Frage des Wegweisungsvollzugs und ist im Übrigen in Rechtskraft erwachsen.</w:t>
      </w:r>
    </w:p>
    <w:p>
      <w:r>
        <w:rPr>
          <w:b/>
        </w:rPr>
        <w:t>E. 3</w:t>
      </w:r>
    </w:p>
    <w:p>
      <w:r>
        <w:t>Die Kognition des Bundesverwaltungsgerichts und die zulässigen Rügen richten sich im Bereich des Ausländerrechts nach Art. 49 VwVG (vgl. BVGE 2014/26 E. 5). Hinsichtlich der Frage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(insbesondere Art. 5 Abs. 1 AsylG, Art. 33 Abs. 1 des Abkommens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5.2.2</w:t>
      </w:r>
    </w:p>
    <w:p>
      <w:r>
        <w:t>Mit der Vorinstanz ist festzuhalten, dass der Vollzug der Wegweisung nach Griechenland sich gemäss bundesverwaltungsgerichtlicher Rechtsprechung in Beachtung der völker- und landesrechtlichen Bestimmungen grundsätzlich als zulässig erweist. Griechenland hält sich als sicherer Drittstaat nicht nur an das Rückschiebungsverbot, sondern kommt als Signatarstaat der EMRK, der FoK und der FK sowie des Zusatzprotokolls der FK vom 31. Januar 1967 (SR 0.142.301) auch seinen weiteren diesbezüglichen völkerrechtlichen Verpflichtungen grundsätzlich nach. Trotz schwerer Lebensbedingungen und beschwerlicher Alltagsbewältigung ist nicht von einer Situation auszugehen, in der jeder Person mit Schutzstatus eine unangemessene und erniedrigende Behandlung im Sinn einer Verletzung von Art. 3 EMRK drohen würde (vgl. einlässlich die Referenzurteile E-3427/2021, E-3431/2021 vom 28. März 2022 E. 11.2 und E. 7, D-559/2020 vom 13. Februar 2020 E. 8.2 und 9.1, je m.w.H., jüngst bestätigt durch das Referenzurteil des BVGer D-2590/2025 vom 11. September 2025 E. 8.1). Auf die ausführlichen Erwägungen in der angefochtenen Verfügung kann verwiesen werden und die sehr pauschalen Ausführungen in der Beschwerde sowie die angeführten Quellen vermögen die Regelvermutung, Griechenland ermögliche auch dem Beschwerdeführer eine menschenwürdige Existenz, nicht umzustossen. Selbst wenn er bei seinem bisherigen Aufenthalt in Griechenland mit schwierigen Bedingungen konfrontiert gewesen wäre, ist davon auszugehen, er vermöge nach der Rückkehr - hinreichende Bemühungen vorausgesetzt - für seine Grundbedürfnisse aufzukommen. Bereits der Umstand, dass er sich nach der Schutzgewährung nur wenige Wochen in Griechenland aufgehalten hat, lässt darauf schliessen, er habe sich nicht in einer Weise um eine wirtschaftliche und soziale Integration in Griechenland bemüht, die von ihm erwartet werden darf. Ausserdem ergibt sich aus seinen Aussagen am Rückübernahmegespräch, dass er nicht alle Unterstützungsmöglichkeiten in Anspruch genommen hat (z.B. A17, F29ff.). Was seinen Gesundheitszustand betrifft, ergibt sich aus den Akten keine schwere Erkrankung (wie nachfolgend aufgezeigt) im Sinne der massgeblichen Rechtsprechung, mit welcher die Vermutung der Zulässigkeit umgestossen werden könnte.</w:t>
      </w:r>
    </w:p>
    <w:p>
      <w:r>
        <w:rPr>
          <w:b/>
        </w:rPr>
        <w:t>E. 5.3.1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diese Legalvermutung umzustossen. Dazu hat sie jedoch ernsthafte Anhaltspunkte dafür vorzubringen, dass sie in Griechenland aufgrund von individuellen Umständen sozialer, wirtschaftlicher oder gesundheitlicher Art in eine existenzielle Notlage geraten würde (vgl. Referenzurteil D-2590/2025 vom 11. September 2025 E. 8.3).</w:t>
      </w:r>
    </w:p>
    <w:p>
      <w:r>
        <w:rPr>
          <w:b/>
        </w:rPr>
        <w:t>E. 5.3.2</w:t>
      </w:r>
    </w:p>
    <w:p>
      <w:r>
        <w:t>In Übereinstimmung mit der Vorinstanz ist festzustellen, dass der Beschwerdeführer die Legalvermutung der Zumutbarkeit nicht umzustossen und keine konkreten Anhaltspunkte dafür darzutun vermag, dass er im Falle einer Rückführung nach Griechenland in eine existenzielle Notlage geraten würde. Er hat, obschon zumutbare Möglichkeiten bestehen, keine ausreichenden Schritte unternommen, um in Griechenland eine Lebensgrundlage aufzubauen. In diesem Zusammenhang stellt das Gericht nicht in Abrede, dass fehlende Sprachkenntnisse eine zusätzliche Herausforderung, insbesondere bei der Arbeitssuche, darstellen können. Gleichwohl schliesst dieser Mangel nicht per se die Möglichkeit aus, eine Beschäftigung zu finden. Aus seinen Aussagen, die Sprachkurse im Camp habe er aufgrund seines Augenleidens nicht in Anspruch genommen, geht sodann kein besonderes Bemühen hervor, die Sprache zu erlernen. Es kann angenommen werden, dass er trotz des lichtempfindlichen Auges Möglichkeiten gehabt hätte, sich um den Spracherwerb zu bemühen. Allein die zeitliche Komponente schliesst ein intensives Bemühen, allenfalls unter Zuhilfenahme der zur Verfügung stehenden Unterstützung, sich existenziell in Griechenland zurechtzufinden, aus. Im Übrigen steht ihm ein Beschwerderecht zu, sollte er sich von den griechischen Behörden ungerecht oder rechtswidrig behandelt fühlen. Auch unter dem humanitären Aspekt steht der Gesundheitszustand des Beschwerdeführers einem Vollzug der Wegweisung nach Griechenland nicht entgegen. Gemäss den sich in den vorinstanzlichen Akten befindenden medizinischen Unterlagen vom 13. November 2025 habe der Beschwerdeführer über Schmerzen und Lichtempfindlichkeit des rechten Auges und über Kopfschmerzen geklagt. Gemäss der augenärztlichen Untersuchung habe er am rechten Auge insbesondere eine diffuse Hornhauttrübung, ein Glaskörperprolaps, eine chronische Netzhautablösung und an der Iris sei ein ophthalmologischer Eingriff in Afghanistan vorgenommen worden. Es bestehe kein akuter Handlungsbedarf und es wurde empfohlen, das Auge zu befeuchten (A18). Gemäss den Akten hatte er am 11. Dezember 2025 einen Termin in der Augenklinik (ebd.), ein entsprechender Bericht wurde bis anhin nicht zu den Akten gereicht. In antizipierender Beweiswürdigung kann entgegen dem Einwand in der Beschwerde darauf verzichtet werden, den Bericht abzuwarten. Es besteht nämlich kein Anlass zur Annahme, der Beschwerdeführer sei auf eine dringende und nahtlose ärztliche Behandlung angewiesen, zumal seit seiner Ankunft in der Schweiz nicht von einem akuten Behandlungsbedarf des Auges ausgegangen wurde (A18). Entsprechend ist nicht mit einer erheblichen Verschlechterung seines Gesundheitszustands im Falle eines Wegweisungsvollzugs zu rechnen. Eine allfällig notwendige medizinische Behandlung steht ihm grundsätzlich auch in Griechenland zur Verfügung (vgl. dazu einlässlich das Referenzurteil D-2590/2025 E. 9.7). Er hatte seinen Angaben zufolge in Griechenland bereits Zugang zu ärztlicher Versorgung in einem Spital von UNICEF in B._______. Auch wenn seinen Aussagen zufolge ihm das benötigte Medikament in B._______ nicht von den Ärzten im UNICEF Spital ausgehändigt worden seien, hätte er die Möglichkeit gehabt, sich bei seinem Aufenthalt in Athen um weitere medizinische Versorgung zu bemühen, was er nicht weiter versucht habe (A17, F35ff.). Es darf aber von ihm erwartet werden, dass er entsprechende Schritte bei einer Rückkehr nach Griechenland unternimmt. Dies gegebenenfalls, indem er sich an unterstützende Stellen wendet. Ergänzend kann auf die ausführlichen und zutreffenden Erwägungen in der vorinstanzlichen Verfügung betreffend den Zugang zur medizinischen Versorgung von Schutzberechtigten in Griechenland verwiesen werden. Die unter Hinweis auf verschiedene - teilweise veraltete - Quellen pauschal erhobene Kritik in der Beschwerde vermag zu keiner anderen Einschätzung zu führen.</w:t>
      </w:r>
    </w:p>
    <w:p>
      <w:r>
        <w:rPr>
          <w:b/>
        </w:rPr>
        <w:t>E. 5.4</w:t>
      </w:r>
    </w:p>
    <w:p>
      <w:r>
        <w:t>Der Vollzug der Wegweisung des Beschwerdeführers erweist sich schliesslich auch als möglich, zumal die griechischen Behörden am 25. November 2025 seiner Rückübernahme explizit zugestimmt haben und er über eine bis zum 21. August 2028 gültige Aufenthaltsbewilligung verfügt (vgl. Art. 83 Abs. 2 AIG). Es obliegt dem Beschwerdeführer, nötigenfalls bei der Beschaffung gültiger Reisepapiere mitzuwirken (vgl. Art. 47 Abs. 1 AsylG und dazu auch BVGE 2008/34 E. 12).</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7</w:t>
      </w:r>
    </w:p>
    <w:p>
      <w:r>
        <w:t>Der Antrag auf Verzicht auf die Erhebung eines Kostenvorschusses ist mit vorliegendem Urteil gegenstandslos geworden. Aus den vorstehenden Erwägungen ergibt sich sodann, dass sich die Beschwerdebegehren als aussichtslos im Sinne von Art. 65 Abs. 1 VwVG erweisen, weshalb das Gesuch um Gewährung der unentgeltlichen Prozessführung abzuweisen ist. Beim vorliegenden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