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E-962/2020 vom 8. Dezember 2022</w:t>
      </w:r>
    </w:p>
    <w:p>
      <w:r>
        <w:t>Bundesverwaltungsgericht, 2022-12-08, DE</w:t>
      </w:r>
    </w:p>
    <w:p>
      <w:r>
        <w:rPr>
          <w:b/>
        </w:rPr>
        <w:t xml:space="preserve">Quelle: </w:t>
      </w:r>
      <w:r>
        <w:t>https://mcp.opencaselaw.ch/entscheid/bvger_E-962_2020</w:t>
      </w:r>
    </w:p>
    <w:p>
      <w:r>
        <w:t>FR: TAF E-962/2020 du 8 décembre 2022</w:t>
      </w:r>
    </w:p>
    <w:p>
      <w:r>
        <w:t>IT: TAF E-962/2020 del 8 dicembre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E-962/2020 Seite 6</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Zunächst ist auf die formellen Rügen einzugehen, da sie zur Aufhebung der angefochtenen Verfügung führen könnten.</w:t>
      </w:r>
    </w:p>
    <w:p>
      <w:r>
        <w:rPr>
          <w:b/>
        </w:rPr>
        <w:t>E. 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3.2</w:t>
      </w:r>
    </w:p>
    <w:p>
      <w:r>
        <w:t>Die Beschwerdeführenden machen geltend, das SEM habe das Haupt- problem nicht verstanden. Die Familie des Beschwerdeführers verlange von ihm, die Beschwerdeführerin zu verlassen oder sie zu töten. Es sei</w:t>
      </w:r>
    </w:p>
    <w:p>
      <w:r>
        <w:t>E-962/2020 Seite 7 offensichtlich, dass er aus einer Familie stamme, in der «Ehrenmorde» eine gewisse Tradition und Häufigkeit hätten. Aus der angefochtenen Verfügung geht hinreichend hervor, dass das SEM sich mit diesen Vorbringen auseinandergesetzt hat. Im Sachverhalt ist an- geführt, dass die Familie mit der Ehe der Beschwerdeführenden nicht ein- verstanden gewesen sei und vom Beschwerdeführer verlangt habe, seine Frau umzubringen. Eine unrichtige Sachverhaltsfeststellung oder Verlet- zung des rechtlichen Gehörs ist nicht erkennbar.</w:t>
      </w:r>
    </w:p>
    <w:p>
      <w:r>
        <w:rPr>
          <w:b/>
        </w:rPr>
        <w:t>E. 3.3</w:t>
      </w:r>
    </w:p>
    <w:p>
      <w:r>
        <w:t>Im Weiteren rügen die Beschwerdeführenden, das SEM habe es in ge- hörsverletzender Weise unterlassen, sich mit der Frage des Schutzwillens und der Schutzfähigkeit der nordirakischen Behörden bei Ehrenmorden bzw. Ehrverletzungsdelikten zu befassen. Konkret habe es unterlassen, sich mit dem Vorbringen des Beschwerdeführers auseinanderzusetzen, ein Cousin väterlicherseits, der mit einer Jesidin verheiratet sei, sei von seiner Familie so lange unter Druck gesetzt worden, bis er seine Frau umgebracht habe. Im Weiteren habe die Beschwerdeführerin über die Steinigung einer Jesidin berichtet, die mit einem muslimischen Mann eine Beziehung einge- gangen sei; sie habe auch erzählt, dass der Cousin des Beschwerdefüh- rers seine Frau erschossen habe. Sie hätten ausführlich geschildert, wie es zur Eskalation der Situation gekommen sei und der Druck auf den Be- schwerdeführer zugenommen habe, indem er mit dem Messerangriff im Jahr 2017 selbst getötet oder endgültig dazu gebracht hätte werden sollen, die Beschwerdeführerin zu verlassen oder umzubringen. Das SEM hat sich in der angefochtenen Verfügung mit dem Hintergrund des Beschwerdeführers auseinandergesetzt und auf den familiären Druck, der auf ihn ausgeübt worden sei, sowie auf die erlittene Verletzung durch den Messerangriff Bezug genommen. Im angefochtenen Entscheid hat es ausreichend dargelegt, aufgrund welcher Überlegungen es von einer aus- reichenden Schutzinfrastruktur ausgegangen sei. Dazu konnten sich die Beschwerdeführenden in der Beschwerde äussern. Es war ihnen möglich, sich ein Bild über die Tragweite des Entscheides zu machen. Der Umstand, dass das SEM die Vorbringen zu Frauenmorden in der Familie des Be- schwerdeführers in der Verfügung nicht explizit erwähnt hat, lässt lediglich auf eine rechtliche Würdigung des vorhandenen Schutzes für die Be- schwerdeführenden schliessen, die nicht mit deren Sichtweise überein- stimmt. Deshalb liegt noch keine Verletzung der Begründungspflicht vor, zumal sie die Verfügung sachgerecht anfechten konnten.</w:t>
      </w:r>
    </w:p>
    <w:p>
      <w:r>
        <w:t>E-962/2020 Seite 8</w:t>
      </w:r>
    </w:p>
    <w:p>
      <w:r>
        <w:rPr>
          <w:b/>
        </w:rPr>
        <w:t>E. 3.4</w:t>
      </w:r>
    </w:p>
    <w:p>
      <w:r>
        <w:t>Die Beschwerdeführenden rügen weiter eine Verletzung der Abklä- rungspflicht, weil beim Beschwerdeführer an der BzP nur eine «Dublin-Be- fragung» durchgeführt worden sei, welche nicht der Abklärung der Asyl- gründe gedient habe. Das Vorbringen findet keine Grundlage in den Akten. Es ist zwar richtig, dass dem Beschwerdeführer ausführliche Fragen zu seinem Reiseweg gestellt wurden, aus dem Protokoll geht aber auch her- vor, dass er summarisch zu seinen Asylgründen befragt wurde (A20, S. 9 und S. 10).</w:t>
      </w:r>
    </w:p>
    <w:p>
      <w:r>
        <w:rPr>
          <w:b/>
        </w:rPr>
        <w:t>E. 3.5</w:t>
      </w:r>
    </w:p>
    <w:p>
      <w:r>
        <w:t>Die Beschwerdeführenden rügen, das SEM habe sich nicht mit der ak- tuellen Situation im Nordirak befasst, weil es fünf Jahre alte Quellen zitiere. Die Kritik, wonach es sich auf eine veraltete Lageeinschätzung stütze, be- trifft wiederum die Würdigung des Sachverhalts und damit eine materielle Frage. Das SEM hat die individuellen Asylgründe der Beschwerdeführen- den vor dem Hintergrund der aktuellen Lage abgeklärt und damit den Sach- verhalt hinreichend festgestellt.</w:t>
      </w:r>
    </w:p>
    <w:p>
      <w:r>
        <w:rPr>
          <w:b/>
        </w:rPr>
        <w:t>E. 3.6</w:t>
      </w:r>
    </w:p>
    <w:p>
      <w:r>
        <w:t>Betreffend die Anträge auf Einsicht in fünf Aktenstücke, auf Gewährung des rechtlichen Gehörs zu den Akten sowie auf Einräumung einer Frist zur Einreichung einer Beschwerdeergänzung kann auf die Zwischenverfügung vom 4. März 2020 verwiesen werden, mit welcher das Gesuch um vollstän- dige Akteneinsicht sowie die damit zusammenhängenden Anträge abge- wiesen wurden, da es sich um interne beziehungsweise nicht edierbare Akten gehandelt hat. Im Weiteren wurde das in der Schweiz geborene Kind E._______ mit Verfügung vom 4. März 2020 in das Verfahren der Eltern einbezogen.</w:t>
      </w:r>
    </w:p>
    <w:p>
      <w:r>
        <w:rPr>
          <w:b/>
        </w:rPr>
        <w:t>E. 3.7</w:t>
      </w:r>
    </w:p>
    <w:p>
      <w:r>
        <w:t>Zusammenfassend liegt weder eine Gehörsverletzung noch eine un- richtige Sachverhaltsfeststellung vor, weshalb keine Veranlassung besteht, die angefochtene Verfügung aus formellen Gründen aufzuheben. Der An- trag auf Rückweisung zur Abklärung des Sachverhalts und zur Neubeurtei- lung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E-962/2020 Seite 9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der Asylgesuche der Beschwer- deführenden im Wesentlichen damit, dass die vorgebrachten Übergriffe durch die Angehörigen nicht asylrelevant seien, da es sich dabei um eine Auseinandersetzung zwischen Privatpersonen handle. Die Behörden ihres Heimatstaates seien schutzwillig und schutzfähig, weshalb sie sich an diese wenden könnten. Dies werde auch dadurch verdeutlicht, dass die Behörden den Brandanschlag auf die Wohnung untersucht hätten. Dass jene nach einer gründlichen Untersuchung keine Brandursache gefunden hätten, sei zwar bedauerlich, lasse aber nicht auf einen fehlenden Schutz schliessen. Die Voraussetzung einer funktionierenden Schutzinfrastruktur, zu der tatsächlich Zugang bestehe, sei erfüllt. Der Beschwerdeführer habe den zweiten Vorfall mit dem Messerangriff nicht der Polizei gemeldet und vorgebracht, Familienmitglieder besetzten hohe Funktionen im Militär und bei den Peschmerga, weshalb er keine Meldung bei der Polizei habe ma- chen können. Diese Funktionen seien aber weder belegt, noch sei nach- vollziehbar, weshalb er keine Meldung bei der Polizei habe machen kön- nen, nachdem ihn ein Polizist im Spital sogar explizit auf die Möglichkeit, Anzeige zu erstatten, aufmerksam gemacht habe. Vielmehr wäre zu erwar- ten gewesen, dass er sich an die staatlichen Behörden wende. Es sei ihm zuzumuten, einen Versuch zur Erlangung polizeilichen Schutzes zu wagen, bevor er unversehens den Irak verlasse. Demnach bestünden keine Hin- weise auf eine Schutzverweigerung. Bei dem von der Beschwerdeführerin vorgebrachten drohenden Strafverfahren wegen unerlaubtem Fernblei- bens von der Arbeitsstelle handle es sich um eine staatliche Massnahme, welche einem legitimen Zweck diene und daher ohne flüchtlingsrechtliche Relevanz sei. Es sei auch nicht ersichtlich, dass die befürchtete Strafe eine Massnahme darstelle, welche eine genügende Intensität aufweise, um als</w:t>
      </w:r>
    </w:p>
    <w:p>
      <w:r>
        <w:t>E-962/2020 Seite 10 asylrelevant eingestuft werden zu können. Da den Vorbringen keine Asyl- relevanz zukomme, könne eine vertiefte Prüfung ihrer Glaubhaftigkeit un- terbleiben.</w:t>
      </w:r>
    </w:p>
    <w:p>
      <w:r>
        <w:rPr>
          <w:b/>
        </w:rPr>
        <w:t>E. 5.2</w:t>
      </w:r>
    </w:p>
    <w:p>
      <w:r>
        <w:t>Demgegenüber führen die Beschwerdeführenden an, es sei von der Glaubhaftigkeit ihrer Vorbringen auszugehen, da das SEM nicht daran ge- zweifelt habe. Sie würden von der Familie des Beschwerdeführers mit dem Tod bedroht. Insbesondere setze die Familie des Beschwerdeführers Druck auf und verlange von ihm, die Beschwerdeführerin zu verlassen oder zu töten. Da er sich seit vielen Jahren weigere, dieser Forderung seiner Familie nachzukommen, werde er direkt verfolgt und mit dem Tod bedroht. Seine Familie stehe in engem Kontakt mit den nordirakischen Behörden und dem Barzani-Clan. Die nordirakischen Behörden seien weder schutz- willig noch schutzfähig. Wegen des Fernbleibens von der Arbeitsstelle drohe auch der Beschwerdeführerin die gezielte asylrelevante Verfolgung. Eine Verurteilung erhalte aufgrund der Familie des Beschwerdeführers, die mit den nordirakischen Machthabern verknüpft sei, eine politische Kompo- nente, weshalb die Asylrelevanz zu bejahen sei. Die behördliche Untersu- chung nach dem Brandanschlag auf die Wohnung habe nicht dem Schutz der Beschwerdeführenden gegolten, sondern sei im Auftrag des Woh- nungseigentümers erfolgt. Das SEM ziehe daraus willkürlich Rückschlüsse auf den Schutzwillen der irakischen Behörden. Der Beschwerdeführer stamme aus einer gewaltbereiten Familie, in welcher es immer wieder zu Ehrenmorden komme. Dies belegten die als Beweismittel beigefügten Zei- tungsartikel über einen Tötungsversuch in der Schweiz (beim Täter handle es sich um einen Cousin des Beschwerdeführers). Seine Familienangehö- rigen seien streng religiös, er habe vergeblich versucht, sich wieder mit ihnen zu versöhnen, sei durch den Messerabgriff aber derart unter Druck gesetzt worden, dass sie hätten ausreisen müssen. Das SEM hätte sich mit der Frage der Schutzwilligkeit und Schutzfähigkeit bei Ehrenmorden befassen müssen. Es sei offensichtlich, dass die irakischen Behörden die Situation als familieninterne Angelegenheit betrachteten und sich weiger- ten, ihnen Schutz zu gewähren. Er habe vergeblich gehofft, dass die Ge- burt der Kinder etwas an der Situation ändern könne. Die Familienangehö- rigen hätten aber die Situation derart eskalieren lassen und versucht, ihn mit dem Messerangriff zur Ermordung der Beschwerdeführerin zu bewe- gen. Er habe detailliert geschildert, weshalb eine Anzeige nichts gebracht hätte. Sein Vater sei (…) beim Militär (Peschmerga) gewesen, sein Onkel und seine Cousins hätten ebenfalls hohe Funktionen gehabt. Die Be- schwerdeführerin habe auch ausführlich geschildert, weshalb keine An- zeige erstattet worden sei. Alle gehörten zum Militär, es handle sich um</w:t>
      </w:r>
    </w:p>
    <w:p>
      <w:r>
        <w:t>E-962/2020 Seite 11 Stammesprobleme bzw. familiäre Probleme, bei welchen die Behörden und die Polizei nicht helfen könnten. Die Angehörigen hätten dem Be- schwerdeführer damit gedroht, dass es ihm wie seinem Cousin ergehen werde. Entweder werde er dies (Tötung seiner Frau) erledigen oder sie würden das für ihn machen.</w:t>
      </w:r>
    </w:p>
    <w:p>
      <w:r>
        <w:rPr>
          <w:b/>
        </w:rPr>
        <w:t>E. 5.3</w:t>
      </w:r>
    </w:p>
    <w:p>
      <w:r>
        <w:t>In der Vernehmlassung hielt das SEM unter Verweis auf die angefoch- tene Verfügung an seinen Erwägungen fest.</w:t>
      </w:r>
    </w:p>
    <w:p>
      <w:r>
        <w:rPr>
          <w:b/>
        </w:rPr>
        <w:t>E. 5.4</w:t>
      </w:r>
    </w:p>
    <w:p>
      <w:r>
        <w:t>In der Replik halten die Beschwerdeführenden an ihren materiellen Be- gehren fest.</w:t>
      </w:r>
    </w:p>
    <w:p>
      <w:r>
        <w:rPr>
          <w:b/>
        </w:rPr>
        <w:t>E. 6.1</w:t>
      </w:r>
    </w:p>
    <w:p>
      <w:r>
        <w:t>Übergriffe durch Dritte oder Befürchtungen, künftig solchen ausgesetzt zu sein, sind nach der seit der Entscheidung und Mitteilung der Schweize- rischen Asylrekurskommission [EMARK] 2006 Nr. 18 anerkannten Schutz- theorie nicht nur asylrelevant, wenn der Staat seiner Schutzpflicht nicht nachkommt, sondern auch, wenn er nicht in der Lage ist, Schutz zu ge- währen. Dieser Schutz kann sowohl durch den Heimatstaat als auch durch einen im Sinne der Rechtsprechung besonders qualifizierten Quasi-Staat gewährt werden. Gemäss ständiger Rechtsprechung geht das Bundesver- waltungsgericht davon aus, dass die kurdischen Behörden grundsätzlich in der Lage und willens sind, ihren Bürgern genügend Schutz vor nicht-staat- lichen Übergriffen zu bieten (BVGE 2008/4 E. 6.5).</w:t>
      </w:r>
    </w:p>
    <w:p>
      <w:r>
        <w:rPr>
          <w:b/>
        </w:rPr>
        <w:t>E. 6.2</w:t>
      </w:r>
    </w:p>
    <w:p>
      <w:r>
        <w:t>Die Beschwerdeführenden geben an, aufgrund ihrer Eheschliessung von der Familie des Beschwerdeführers bedroht worden zu sein. Als flucht- auslösendes Ereignis bringen sie vor, der Beschwerdeführer sei im Jahr 2017 von einem Cousin mit einem Messer verletzt worden. Vom Gericht wird nicht angezweifelt, dass die Beschwerdeführenden von Angehörigen in erheblicher Art und Weise gegängelt und stark unter Druck gesetzt wur- den und der Beschwerdeführer bedroht sowie tätlich angegriffen wurde. Zwischenzeitlich konnten sie sich aber den Aussagen des Beschwerdefüh- rers zufolge durch einen Umzug zu Verwandten dem Einflussbereich sei- ner Familie entziehen. Auf die Frage, weshalb sie sich nicht weiter im Haus des Schwiegervaters hätten aufhalten können, gab der Beschwerdeführer an, sich dafür als Mann geschämt zu haben und ohne Beschäftigung nicht leben zu können, da es auch um die Zukunft seiner Kinder gegangen sei (A20, S. 10). Wie das SEM festgehalten hat, konnten sie nach ihrem Um- zug nach F._______ den Brandanschlag auf ihre Mietwohnung zur Anzeige bringen. Dass dies – wie in der Beschwerde vorgebracht wird – nur dem</w:t>
      </w:r>
    </w:p>
    <w:p>
      <w:r>
        <w:t>E-962/2020 Seite 12 Wohnungseigentümer genützt habe, ergibt sich nicht aus der einlässlichen Anhörung der Beschwerdeführenden. Ihren Aussagen zufolge konnten sie melden, dass sie die Familie des Beschwerdeführers verdächtigten; auch hätten die Behörden sehr eingehend nach der Brandursache gesucht, aber keine Beweise gefunden (A34 F143). Offensichtlich wurden hier die Straf- verfolgungsbehörden tätig. Beim zweiten Vorfall, dem Messerangriff auf den Beschwerdeführer im Jahr 2017, hat es jener unterlassen, die Behör- den um Schutz zu ersuchen. Die von ihm angeführten Gründe (Beziehun- gen seiner Verwandten zum Militär) lassen nicht darauf schliessen, die Be- hörden hätten ihm den erforderlichen Schutz verweigert oder würden dies in Zukunft tun. Daraus, dass der Beschwerdeführer unmittelbar im Kran- kenhaus von einem Polizisten befragt wurde, ergibt sich, dass die Strafver- folgungsbehörden tätig werden wollten. Bei dieser Sachlage kann den kur- dischen Autonomiebehörden weder mangelnder Schutzwille noch man- gelnde Schutzfähigkeit angelastet werden. Daher ist mit der Vorinstanz da- von auszugehen, dass die Beschwerdeführenden den – genügenden – Schutz der nordirakischen Behörden in Anspruch nehmen können. Der Vorinstanz ist auch darin zuzustimmen, dass der Wille und die Fähigkeit der kurdischen Behörden in der Autonomen Region Kurdistans, den Ein- wohnern Schutz vor allfälliger Verfolgung zu gewähren, heute noch immer gegeben ist. Im Urteil BVGE 2008/4 bringt das Bundesverwaltungsgericht zwar gewisse Vorbehalte in Bezug auf den Schutzwillen der nordirakischen Justizorgane im Zusammenhang mit Ehrenmorden an (vgl. E. 6.7). Der Vorbehalt bezieht sich aber in erster Linie auf direkt von einem Ehrenmord bedrohten Frauen (vgl. BVGer E-1657/2017 vom 27. Juli 2018 E. 5.2, D-3292/2016 vom 9. November 2016 E. 5.4 m.H.a. BVGE 2008/4 und zu den Voraussetzungen der Schutztheorie: BVGE 2011/51 E. 7 f. m.w.H.). Vorliegend wurde aber der Beschwerdeführer von seinen Cousins bedroht. Auch lässt die Aktenlage nicht auf einen mangelhaften Schutz schliessen: Die Annahme des Beschwerdeführers, die Behörden würden ihm keinen Schutz gewähren, entspricht nicht dem tatsächlichen Verhalten des Poli- zisten, der ihn im Spital zur Tat befragen wollte. Auch die auf Beschwerde- ebene eingereichten Unterlagen zu einem eingeleiteten Strafverfahren ge- gen seinen Bruder weisen darauf hin, dass die Strafverfolgungsbehörden tätig werden. Der Täter wurde bestraft und eingesperrt. Es wird daraus nicht ersichtlich, weshalb die Justizbehörden im Fall des Beschwerdefüh- rers untätig geblieben wären, wenn er den Messerangriff zur Anzeige ge- bracht hätte.</w:t>
      </w:r>
    </w:p>
    <w:p>
      <w:r>
        <w:t>E-962/2020 Seite 13</w:t>
      </w:r>
    </w:p>
    <w:p>
      <w:r>
        <w:rPr>
          <w:b/>
        </w:rPr>
        <w:t>E. 6.3</w:t>
      </w:r>
    </w:p>
    <w:p>
      <w:r>
        <w:t>Zusammenfassend hat das SEM zutreffend festgehalten, dass die gel- tend gemachte Furcht vor allfälligen Übergriffen von Verwandten des Be- schwerdeführers nicht asylrelevant ist. Es liegen keine Vorfluchtgründe vor, die eine Aufhebung der angefochtenen Verfügung im Asylpunkt rechtferti- gen könnten.</w:t>
      </w:r>
    </w:p>
    <w:p>
      <w:r>
        <w:rPr>
          <w:b/>
        </w:rPr>
        <w:t>E. 7</w:t>
      </w:r>
    </w:p>
    <w:p>
      <w:r>
        <w:t>Die Beschwerdeführerin bringt im Weiteren vor, sie werde aufgrund ihres Fernbleibens von der Arbeit bestraft. Nach ihrer Anhörung reichte der Be- schwerdeführer am 19. Oktober 2018 mehrere Fotos von behördlichen Do- kumenten zu den Akten, darunter ein Strafurteil zu vier Monaten Haft, und einen darauf beruhenden Fahndungsbeschluss bzw. Festnahmeauftrag.</w:t>
      </w:r>
    </w:p>
    <w:p>
      <w:r>
        <w:rPr>
          <w:b/>
        </w:rPr>
        <w:t>E. 7.1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7.2</w:t>
      </w:r>
    </w:p>
    <w:p>
      <w:r>
        <w:t>Mit Eingabe vom 21. Februar 2020 legen die Beschwerdeführenden Übersetzungen der behördlichen Schreiben vor, welche das Arbeitsverhält- nis der Beschwerdeführerin und die geltend gemachte Strafe betreffen. Laut Anstellungsverfügung («Verwaltungsordnung») vom (…) im Rang ei- ner (…) angestellt. Von diesem Vorgesetzten habe es am (…) 2017 eine Mitteilung an die Generaldirektion und am (…) 2017 eine Mitteilung an die Rechtsabteilung bezüglich ihres Fernbleibens gegeben. Am (…) 2018 sei eine «Strafentscheidung» bzw. ein «anfechtbares Urteil» in Abwesenheit ergangen, in welchem sie «mit leichter Haftstrafe für 4 Monate in Abwesen- heit» bestraft worden sei. Am (…) 2018 sei sie zur Festnahme ausgeschrie- ben worden.</w:t>
      </w:r>
    </w:p>
    <w:p>
      <w:r>
        <w:t>E-962/2020 Seite 14 Zunächst ist festzuhalten, dass das SEM in der Vernehmlassung zutreffend darauf hinweist, dass die Beschwerdeführerin über diese Vorgänge bzw. Konsequenzen in der Anhörung nichts Konkretes ausgesagt hat. Im Verlauf des Verfahrens haben die Beschwerdeführenden das Ausmass des Prob- lems gesteigert dargestellt. Da sich die Beschwerdeführerin der Folgen ih- res unerlaubten Fernbleibens bewusst gewesen sein müsste, ist nicht nachvollziehbar, weshalb sie an der BzP nicht andeutungsweise darüber berichtet hat. Im Rahmen ihrer Angaben zur letzten ausgeübten Tätigkeit erzählte sie, im Irak Hausfrau gewesen zu sein (A5, S. 6). In der Anhörung brachte sie dann allgemein vor, dass sie gekündigt worden bzw. desertiert sei. Die Frage, ob sie deshalb gesucht werde, beantwortete sie nicht direkt. Stattdessen führte sie sehr allgemein aus, dass man bei unerlaubtem Fern- bleiben der Desertion beschuldigt und bestraft werde; die Mitarbeiter müss- ten sich der Behörde stellen, um Fragen zu beantworten; sie wisse darüber nichts, da sie keinen Kontakt mehr habe (A34 F208–F209). Danach liess sie mehrere interne Dokumente über ihr unerlaubtes Fernbleiben zu den Akten reichen. Den fraglichen Erwerb dieser internen behördlichen Doku- mente, welche der Beschwerdeführer in seiner Anhörung zu den Akten reichte, konnte er zunächst nicht erklären, gab aber im Zuge der Rücküber- setzung – laut Anmerkung der Sachbearbeiterin nach einer Pause, in wel- cher er die Beschwerdeführerin getroffen habe – an, der Schwager der Be- schwerdeführerin arbeite bei derselben Behörde und habe die Fotos orga- nisieren können. Jener sei auch von einem Kollegen angerufen und über die Fahndungsausschreibung informiert worden. Dies steht im Wider- spruch zur Aussage der Beschwerdeführerin, nichts über ihr weiteres Ver- fahren sagen zu können, weil sie über keinen Kontakt mehr verfüge. Auf- grund des Aussageverhaltens und der mangelnden Überprüfbarkeit der Echtheit der Dokumente, welche nur als Kopien vorliegen, erscheint es zweifelhaft, dass die Beschwerdeführerin von den Behörden im Nordirak gesucht wird. Selbst bei Wahrunterstellung der Authentizität des Strafurteils besteht beim unerlaubten Fernbleiben vom Dienst in der Regel keine asylrelevante Ver- folgungsgefahr (vgl. D-6046/2018 vom 9. Mai 2019 E. 7.3). Der Umstand, dass die Beschwerdeführerin in ihrer Eigenschaft als Angestellte eines (…) unerlaubterweise nicht mehr zur Arbeit erschien und sich ins Ausland ab- setzte, reicht nicht aus, ihre Flüchtlingseigenschaft zu begründen. Ihren Vorbringen lässt sich nicht entnehmen, dass sie aus asylrechtlich relevan- ten Gründen gesucht werden könnte. Bis zum Verlassen ihrer Heimat ist kein Fehlverhalten bekannt, welches geeignet gewesen wäre, sie als Geg- nerin der kurdischen Regionalregierung erscheinen zu lassen. Sie machte</w:t>
      </w:r>
    </w:p>
    <w:p>
      <w:r>
        <w:t>E-962/2020 Seite 15 auch nicht geltend, dass sie während ihrer mehrjährigen Tätigkeit je Prob- leme mit Vorgesetzten gehabt hätte (auch nicht im Kontext zum Vorbringen über das rufschädigende Verhalten der Angehörigen, vgl. A34 F162). Dass der feindlich gesinnte Schwiegervater bei den Peschmerga (…) gewesen sei und über Beziehungen zum Barzani-Clan verfügt habe, lässt noch nicht auf einen Politmalus schliessen, zumal jener ihren Aussagen zufolge Ende 2017 während ihres Aufenthaltes in Griechenland und damit über acht Mo- nate vor der Ausstellung des Strafurteils bzw. der Ausschreibung zur Fahn- dung verstorben ist (A37 F88). Darüber hinaus haben die Beschwerdefüh- renden nicht ansatzweise substantiiert vorgebracht, welche «hohen Funk- tionen» der Onkel bzw. die Cousins innegehabt hätten, die ihnen eine Ein- flussnahme ermöglicht hätten. Eine allfällige Bestrafung wegen des uner- laubten Fernbleibens vom Arbeitsplatz kann somit nicht zur Zuerkennung der Flüchtlingseigenschaft führen. Ungeachtet der Tatsache, dass sie den Dienst nicht hätte quittieren dürfen, was gemäss dem vorgelegten Strafur- teil zu «einer leichten Haftstrafe von vier Monaten» führte, würde sie offen- sichtlich nicht aus einem asylrelevanten Grund härter bestraft als andere Personen, die unerlaubterweise den Dienst quittiert hätten (vgl. D-6046/2018 vom 9. Mai 2019 E. 7.3).</w:t>
      </w:r>
    </w:p>
    <w:p>
      <w:r>
        <w:rPr>
          <w:b/>
        </w:rPr>
        <w:t>E. 7.3</w:t>
      </w:r>
    </w:p>
    <w:p>
      <w:r>
        <w:t>Die Beschwerdeführenden erfüllen somit die Voraussetzungen zur An- erkennung der Flüchtlingseigenschaft nicht, weshalb die Vorinstanz ihre Asylgesuche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Das SEM begründete den Wegweisungsvollzug damit, dass keine An- haltspunkte vorliegen würden, wonach den Beschwerdeführenden im Falle einer Rückkehr in den Heimatstaat mit beachtlicher Wahrscheinlichkeit eine durch Art. 3 EMRK verbotene Strafe oder Behandlung drohe. Der Voll-</w:t>
      </w:r>
    </w:p>
    <w:p>
      <w:r>
        <w:t>E-962/2020 Seite 16 zug erweise sich auch in allgemeiner und individueller Hinsicht als zumut- bar. Die Beschwerdeführenden stammten aus der Autonomen Region Kur- distan (ARK). Die Sicherheits- und Versorgungslage sei trotz Flüchtlings- welle nicht derart gravierend, dass für die kurdische Bevölkerung von einer konkreten Gefährdung im Sinne von Art. 83 Abs. 4 gesprochen werden könne. In individueller Hinsicht bestünden – trotz der Probleme mit der Fa- milie des Beschwerdeführers – gute Kontakte zu Familienangehörigen der Beschwerdeführerin, welche in F._______ lebten. Es sei auch davon aus- zugehen, dass sie im guten Einvernehmen mit jener (…) stünden, die ihr Haus gekauft habe. In ihrem Heimatort sei von einer Wohnmöglichkeit aus- zugehen. Zudem verfügten die Beschwerdeführenden über Arbeitserfah- rungen, so dass ihnen der Berufseinstieg im Irak wieder gelingen werde. Es seien auch keine gravierenden gesundheitlichen Probleme bekannt. Die relativ kurze Dauer, seit der sich die beiden älteren Kinder in der Schweiz befänden, spreche nicht gegen die Zumutbarkeit des Wegwei- sungsvollzugs in Bezug auf das Kindeswohl, zumal die prägenden Jahre der Adoleszenz grösstenteils noch bevorstünden. In der Vernehmlassung führt es in Bezug auf die gerügte Unzulässigkeit des Wegweisungsvollzugs weiter aus, es sei daran festzuhalten, dass es sich bei dem geltend gemachten Strafverfahren um eine legitime staatliche Massnahme handle. Die Beschwerdeführerin habe in ihrer Anhörung we- der genauere Angaben zu einer tatsächlichen Kündigung noch zu einer möglichen Bestrafung machen können. Bezüglich der Unzumutbarkeit des Wegweisungsvollzugs müsse eine konkrete Gefährdungssituation vorlie- gen. Es sei aber davon auszugehen, dass sie im Nordirak über ein soziales Netz verfügten und es ihnen – insbesondere auch den Kindern – zuzumu- ten sei, dieses zu reaktivieren und sich wieder bei Freunden und Familie zu melden.</w:t>
      </w:r>
    </w:p>
    <w:p>
      <w:r>
        <w:rPr>
          <w:b/>
        </w:rPr>
        <w:t>E. 9.2</w:t>
      </w:r>
    </w:p>
    <w:p>
      <w:r>
        <w:t>Demgegenüber bringen die Beschwerdeführenden vor, der Wegwei- sungsvollzug erweise sich als unzulässig, weil der Beschwerdeführerin we- gen des Fernbleibens von der Arbeitsstelle die Verhaftung und mehrmona- tige Inhaftierung drohe. Auch stelle die drohende Tötung durch die Familie eine unmenschliche Behandlung im Sinne von Art. 3 EMRK dar. Insbeson- dere drohe dem Beschwerdeführer die gezielte Verfolgung und Tötung durch seine Familie. Zudem hindere sie die konkrete Gefährdung daran, sich in ihrer Heimat eine Existenz aufzubauen, weshalb auch ihre Aus- schaffung als existenzgefährdend zu betrachten sei. Im Weiteren gehe aus den vorgelegten Dokumenten (Schreiben der Deutschlehrerin der Eltern vom 27. Januar 2020) hervor, dass sich die Beschwerdeführenden in der</w:t>
      </w:r>
    </w:p>
    <w:p>
      <w:r>
        <w:t>E-962/2020 Seite 17 Schweiz bereits sehr gut integriert hätten und eine Ausschaffung insbeson- dere auch in Bezug auf die Kinder eine unzumutbare Situation bedeute bzw. existenzgefährdend wäre. Aufgrund der drohenden Inhaftierung der Beschwerdeführerin wäre auch der Beschwerdeführer auf sich allein ge- stellt und nicht in der Lage, sich gleichzeitig um seine Kinder zu kümmern und eine neue Arbeitsstelle zu suchen. Der Aufbau einer Existenz werde sich insbesondere auch mit drei Kindern (eines davon im Kleinkindalter), als schwierig erweisen. Da er mit seiner Familie keinen Kontakt mehr pflege und auch die Familie der Beschwerdeführerin keine Möglichkeiten hätte, sie zu unterstützen, sondern sie marginalisieren würde, um sich nicht selbst in Gefahr zu bringen, sei nicht von einem tragfähigen Beziehungs- netz und auch nicht von besonders begünstigenden Umständen auszuge- hen. Ihre Kinder sollten aus entwicklungspsychologischen Gründen nicht aus dem vertrauten Umfeld herausgerissen werden. Zudem leide die Be- schwerdeführerin unter gesundheitlichen Problemen. Das SEM habe sich auch nicht mit der aktuellen Situation im Nordirak befasst, welche sich in- nert der letzten fünf Jahre massiv verschlechtert habe. Aus verschiedenen Zeitungsartikeln ergebe sich, dass die Türkei Stellungen der PKK im Nord- irak bombardiere und die ARK seit dem Unabhängigkeitsreferendum vom 25. September 2017 als Gefahr wahrnehme. Im Weiteren sei es zu Rake- tenangriffen durch den Iran gekommen. Die Zentralregierung in Bagdad anerkenne das Referendum nicht und es habe deshalb schwere Gefechte gegeben, wie sich auch Zeitungsberichten im Internet entnehmen lasse. Von der angespannten Situation profitiere insbesondere der IS, weshalb es vermehrt zu terroristischen Anschlägen gekommen sei und sich die Sicher- heitslage weiter verschlechtert habe. Da sich zusätzlich die humanitäre Si- tuation zuspitze, biete die Region kaum Schutz für Rückkehrer. Es sei auf einen Bericht der Konrad-Adenauer-Stiftung zu verweisen, welcher die Si- tuation nach dem Referendum genau analysiere, und wonach eine erneute Konfrontation zwischen Erbil und Bagdad nicht ausgeschlossen sei.</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E-962/2020 Seite 18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w:t>
      </w:r>
    </w:p>
    <w:p>
      <w:r>
        <w:t>E-962/2020 Seite 19 §§ 124–127 m.w.H.). Wie oben erläutert, ist aufgrund der Aktenlage anzu- nehmen, dass die staatlichen Behörden vorliegend willens und fähig sind, die Beschwerdeführenden vor allfälligen Übergriffen, welche sie seitens der Familienangehörigen des Beschwerdeführers befürchten, zu schützen. Auch die allgemeine Menschenrechtssituation in der Herkunftsregion der Beschwerdeführenden lässt den Wegweisungsvollzug zum heutigen Zeit- punkt nicht als unzulässig erscheinen (vgl. dazu Referenzurteil E-3737/2015 vom 14. Dezember 2015 E. 6.3.2). Das Bundesverwaltungs- gericht geht im Weiteren davon aus, dass die Bedingungen in den staatli- chen Gefängnissen des Nordiraks grundsätzlich genügend sind (vgl. E-5986/2017 vom 3. Februar 2021 E. 9.1.3 m.w.H.). Es ist daher nicht er- sichtlich und erschliesst sich auch nicht aus den Vorbringen der Beschwer- deführerin, inwiefern sie – die Authentizität des Strafurteils vorausgesetzt – aufgrund einer legitimen Haftstrafe von vier Monaten wegen Fernblei- bens vom Dienst unmenschlich behandelt werden würde. Nach dem Ge- 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In seinem Referenzurteil E-3737/2015 vom 14. Dezember 2015 (E. 7.4) bestätigte das Bundesverwaltungsgericht seine in BVGE 2008/5 publizierte Praxis zur Frage der Zumutbarkeit des Wegweisungsvollzugs in die kurdischen Provinzen im Nordirak. Es hielt dabei fest, dass in den vier Provinzen der ARK nicht von einer Situation allgemeiner Gewalt im Sinne von Art. 83 Abs. 4 AIG auszugehen sei, und auch keine konkreten Anhalts- punkte dafür vorliegen würden, dass sich dies in absehbarer Zeit massge- blich ändere. Diese Einschätzung hat nach wie vor Gültigkeit. Die langjäh- rige Praxis im Sinne von BVGE 2008/5 für aus dem Gebiet stammende Kurdinnen und Kurden bleibt somit weiterhin anwendbar (vgl. u.a. Urteile des BVGer D-2775/2020 vom 2. Juli 2020 E. 8.3.1, E-2855/2018 vom</w:t>
      </w:r>
    </w:p>
    <w:p>
      <w:r>
        <w:rPr>
          <w:b/>
        </w:rPr>
        <w:t>E. 10.4.2</w:t>
      </w:r>
    </w:p>
    <w:p>
      <w:r>
        <w:t>Die Beschwerdeführenden stammen aus F._______, der ARK-Re- gion, wo sie bis kurz vor ihrer Ausreise gelebt haben. Wie das SEM zutref- fend festgehalten hat, ist von einem tragfähigen familiären Beziehungsnetz sowie einer gesicherten Wohnsituation auszugehen, weil der Grossteil der Familie der Beschwerdeführerin nach wie vor in dieser Region lebt (A5, S. 8; A34 F52 ff.). Wie erwähnt steht es den Beschwerdeführenden zudem offen, sich bei allfälligen Problemen an die örtlichen Sicherheitskräfte zu wenden. In der Beschwerdeschrift wird auf unsubstantiierte Weise auf ge- sundheitliche Probleme der Beschwerdeführerin hingewiesen. Weder aus den Akten noch aus den auf Beschwerdeebene eingereichten Beweismit- teln gehen gesundheitliche Probleme hervor, die einem Vollzug der Weg- weisung entgegenstehen könnten. Auch in finanzieller Hinsicht ist davon auszugehen, dass die Existenz der Beschwerdeführenden bei einer Rück- kehr gesichert ist (A37 F36; A34 F77-F91, F129 und F138). Die Beschwer- deführerin schloss die Maturität ab und hat Arbeitserfahrung gesammelt, auch der Beschwerdeführer arbeitete bereits als (…) und trug so zum Un- terhalt der Familie bei. Es ist auch nicht ersichtlich, dass selbst bei Wahr- unterstellung der Authentizität des Strafurteils eine viermonatige Haftstrafe der Beschwerdeführerin existenzgefährdend wirken würde. Die Beschwer- deführerin hat angegeben, dass während ihrer Berufstätigkeit ihre Mutter bzw. ihre Angehörigen auf ihre beiden älteren Kinder, welche sich damals – wie nun in der Beschwerde in Bezug auf das dritte Kind vorgebracht wird – in einem noch jungen Alter befunden hätten, aufgepasst haben (A34 F80). Soweit geltend gemacht wird, dass die Kinder beim Vollzug der We- geweisung aus einem gewohnten Umfeld gerissen würden (vgl. BVGE</w:t>
      </w:r>
    </w:p>
    <w:p>
      <w:r>
        <w:t>E-962/2020 Seite 21 2009/51 E. 5.6), ist festzuhalten, dass die beiden älteren Kinder im Alter von (…) sind und nach einem über vierjährigen Aufenthalt in der Schweiz noch nicht die gesamte prägende Zeit ihrer Adoleszenz in der Schweiz ver- bracht haben. Dabei werden die sehr guten Integrationsleistungen der Be- schwerdeführenden, welche in den Briefen der Nachbarn beschrieben wer- den, nicht in Abrede gestellt. Das in der Beschwerdeschrift erwähnte Schreiben der Deutschlehrerin bezieht sich auf die Lernleistungen der El- tern und gibt keinen Einblick in die konkrete schulische Situation der Kin- der. In einer Gesamtbetrachtung ist festzuhalten, dass das älteste Kind in seiner Heimat bereits Erfahrungen mit dem Schulbesuch gemacht hat, weshalb davon auszugehen ist, dass es bei Rückkehr nicht in ein völlig unbekanntes Schulsystem geraten würde. Auch das zweite Kind hat be- reits vor der Ausreise (aufgrund der Berufstätigkeit der Eltern) mit der Grossmutter und dem erweiterten Familienkreis der Beschwerdeführerin engen Kontakt gehabt und würde in der Heimat nicht völlig unbekannte Lebensbedingungen vorfinden. Insgesamt ist daher davon auszugehen, dass ihnen – trotz möglicher Schwierigkeiten – auch nach einem vier- bis fünfjährigen Aufenthalt in der Schweiz die Reintegration aufgrund des vor- handenen, bekannten familiären Umfeldes wieder gelingen dürfte. Beim jüngsten Kind ist nicht von einer Entwurzelung auszugehen, weil es als Kleinkind noch an seine Eltern gebunden ist. Ergänzend kann auf die zu- treffenden Ausführungen des SEM verwiesen werden. Nach dem Gesagten erweist sich der Vollzug der Wegweisung auch als zumutbar.</w:t>
      </w:r>
    </w:p>
    <w:p>
      <w:r>
        <w:rPr>
          <w:b/>
        </w:rPr>
        <w:t>E. 10.5</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E-962/2020 Seite 22 12. Bei diesem Ausgang des Verfahrens wären die Kosten den Beschwerdeführenden aufzuerlegen (Art. 63 Abs. 1 VwVG). Da mit Verfü- gung vom 4. März 2020 das Gesuch um Gewährung der unentgeltlichen Prozessführung gutgeheissen wurde und nicht von einer veränderten fi- nanziellen Situation der Familie auszugehen ist, werden keine Verfahrens- kosten erhoben. (Dispositiv nächste Seite)</w:t>
      </w:r>
    </w:p>
    <w:p>
      <w:r>
        <w:t>E-962/2020 Seite 23</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Da mit Verfügung vom 4. März 2020 das Gesuch um Gewährung der unentgeltlichen Prozessführung gutgeheissen wurde und nicht von einer veränderten finanziellen Situation der Familie auszugehen ist, werden keine Verfahrenskosten erhoben. (Dispositiv nächste Seite)</w:t>
      </w:r>
    </w:p>
    <w:p>
      <w:r>
        <w:rPr>
          <w:b/>
        </w:rPr>
        <w:t>E. 14</w:t>
      </w:r>
    </w:p>
    <w:p>
      <w:r>
        <w:t>Januar 2019 E. 5.6.1, D-1779/2016 vom 6. Dezember 2018 E. 7.3.2, E-2036/2016 vom 21. November 2018 E. 6.3.1, BVGE 2008/5 E. 7.5). An dieser Einschätzung ändert auch das am 25. September 2017 in der ARK durchgeführte Referendum nichts, in dem offenbar eine Mehrheit der Kur- den für die Unabhängigkeit vom Irak votierte. Auch aufgrund eines Berichts</w:t>
      </w:r>
    </w:p>
    <w:p>
      <w:r>
        <w:t>E-962/2020 Seite 20 der Konrad-Adenauer-Stiftung über die Eskalation des schwelenden Kon- flikts zwischen der Regionalregierung und der Bundesregierung im Nach- gang zum Referendum ist zum heutigen Zeitpunkt nicht auf eine Situation allgemeiner Gewalt zu schliessen (vgl. WÖRMER, NILS ET LAMBERTY, LUCAS [Konrad-Adenauer-Stiftung KAS], Der kurdische [Alb-]Traum: Das Unab- hängigkeitsreferendum, der Fall von Kirkuk und die Auswirkungen auf die kurdische und irakische Politik, 2018, https://www.kas.de/ documents/252038/253252/7_dokument_dok_pdf_52122_1.pdf/ 6a622376-f956-d6db-91d9-86867c158086?version=1.0&amp;t=1539647624 372, abgerufen am 08.12.2022). Den begünstigenden individuellen Fakto- ren – insbesondere denjenigen eines tragfähigen familiären Beziehungs- netzes – ist angesichts der Belastung der behördlichen Infrastrukturen durch im Irak intern Vertriebene (Internally Displaced Persons [IDPs]) nach wie vor ein besonderes Gewicht beizumessen (vgl. etwa E-5986/2017 vom 3. Februar 2021 E. 9.2.1 und E-5757/2017 vom 13. Juli 2020 E. 8.3.2).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