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E-962/2019 vom 17. Dezember 2019</w:t>
      </w:r>
    </w:p>
    <w:p>
      <w:r>
        <w:t>Bundesverwaltungsgericht, 2019-12-17, FR</w:t>
      </w:r>
    </w:p>
    <w:p>
      <w:r>
        <w:rPr>
          <w:b/>
        </w:rPr>
        <w:t xml:space="preserve">Quelle: </w:t>
      </w:r>
      <w:r>
        <w:t>https://mcp.opencaselaw.ch/entscheid/bvger_E-962_2019</w:t>
      </w:r>
    </w:p>
    <w:p>
      <w:r>
        <w:t>FR: TAF E-962/2019 du 17 décembre 2019</w:t>
      </w:r>
    </w:p>
    <w:p>
      <w:r>
        <w:t>IT: TAF E-962/2019 del 17 dicembre 2019</w:t>
      </w:r>
    </w:p>
    <w:p>
      <w:pPr>
        <w:pStyle w:val="Heading2"/>
      </w:pPr>
      <w:r>
        <w:t>Regeste</w:t>
      </w:r>
    </w:p>
    <w:p>
      <w:r>
        <w:t>Asile (non-entrée en matière / procédure Dublin) et renvoi</w:t>
      </w:r>
    </w:p>
    <w:p>
      <w:pPr>
        <w:pStyle w:val="Heading2"/>
      </w:pPr>
      <w:r>
        <w:t>Erwägungen</w:t>
      </w:r>
    </w:p>
    <w:p>
      <w:r>
        <w:rPr>
          <w:b/>
        </w:rPr>
        <w:t>E. 9.1</w:t>
      </w:r>
    </w:p>
    <w:p>
      <w:r>
        <w:t>Partant, le recours doit être admis, dans le sens que la décision du SEM du 14 février 2019 est annulée pour constatation incomplète et inexacte des faits pertinents (art. 106 al. 1 let. a et b LAsi) et la cause renvoyée au SEM pour complément d'instruction et nouvelle décision.</w:t>
      </w:r>
    </w:p>
    <w:p>
      <w:r>
        <w:rPr>
          <w:b/>
        </w:rPr>
        <w:t>E. 9.2</w:t>
      </w:r>
    </w:p>
    <w:p>
      <w:r>
        <w:t>Le SEM devra en particulier procéder aux investigations indiquées ci-dessus, puis rendre une nouvelle décision une fois cette instruction complémentaire accomplie. Dans ce contexte, il devra en particulier obtenir des informations précises, au sens des considérants qui précèdent, quant aux conditions effectives et concrètes de la prise en charge des familles en Italie dans les centres de premier accueil et les CAS (structures de destination, nombre de places disponibles, conditions matérielles d'hébergement et garanties prévues pour la préservation de l'unité familiale). La recourante ayant en outre fait valoir qu'elle souffre de problèmes médicaux et qu'elle a été victime de violences domestiques et de prostitution forcée par le passé, il appartiendra également au SEM d'instruire la situation médicale de l'intéressée, en procédant notamment à une évaluation médicale exhaustive, et de motiver sa nouvelle décision sur ce point, en tenant compte de l'analyse contenue dans le présent arrêt.</w:t>
      </w:r>
    </w:p>
    <w:p>
      <w:r>
        <w:rPr>
          <w:b/>
        </w:rPr>
        <w:t>E. 10.1</w:t>
      </w:r>
    </w:p>
    <w:p>
      <w:r>
        <w:t>Les recourantes obtenant gain de cause, il n'est pas perçu de frais de procédure (cf. art. 63 al. 1 PA).</w:t>
      </w:r>
    </w:p>
    <w:p>
      <w:r>
        <w:rPr>
          <w:b/>
        </w:rPr>
        <w:t>E. 10.2</w:t>
      </w:r>
    </w:p>
    <w:p>
      <w:r>
        <w:t>Pour la même raison, elles peuvent prétendre à l'allocation de dépens (cf. art. 64 al. 1 PA et art. 7 al. 1 du règlement du 21 février 2008 concernant les frais, dépens et indemnités fixés par le Tribunal administratif fédéral [FITAF, RS 173.320.2]). En l'absence d'une note d'honoraires et compte tenu du fait que la mandataire est intervenue seulement au stade de la réplique (cf. let. L supra), le Tribunal fixe les dépens à 300 francs, à la charge du SEM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