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E-955/2018 vom 20. April 2018</w:t>
      </w:r>
    </w:p>
    <w:p>
      <w:r>
        <w:t>Bundesverwaltungsgericht, 2018-04-20, FR</w:t>
      </w:r>
    </w:p>
    <w:p>
      <w:r>
        <w:rPr>
          <w:b/>
        </w:rPr>
        <w:t xml:space="preserve">Quelle: </w:t>
      </w:r>
      <w:r>
        <w:t>https://mcp.opencaselaw.ch/entscheid/bvger_E-955_2018</w:t>
      </w:r>
    </w:p>
    <w:p>
      <w:r>
        <w:t>FR: TAF E-955/2018 du 20 avril 2018</w:t>
      </w:r>
    </w:p>
    <w:p>
      <w:r>
        <w:t>IT: TAF E-955/2018 del 20 aprile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L'intéressé a qualité pour recourir (art. 48 al. 1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3.1</w:t>
      </w:r>
    </w:p>
    <w:p>
      <w:r>
        <w:t>En l'espèce, même à admettre la vraisemblance des propos du recourant, les craintes de préjudices qu'il invoque n'ont pour origine ni sa race, ni sa religion, ni sa nationalité ni son appartenance à un groupe social déterminé, ni ses opinions politiques. Ses appréhensions découlent d'un différend familial causé intentionnellement par sa belle-mère pour lui nuire. Ces motifs n'entrent à l'évidence pas dans les prévisions de l'art. 3 LAsi et ne peuvent qu'être examinés dans le cadre des questions liées à l'exécution du renvoi (cf. consid. 6 ci-dessous).</w:t>
      </w:r>
    </w:p>
    <w:p>
      <w:r>
        <w:rPr>
          <w:b/>
        </w:rPr>
        <w:t>E. 3.2</w:t>
      </w:r>
    </w:p>
    <w:p>
      <w:r>
        <w:t>Il s'ensuit que le recours, en tant qu'il porte sur la reconnaissance de la qualité de réfugié et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crédible qu'en cas de retour dans son pays d'origine, il serait exposé à de sérieux préjudices au sens de l'art. 3 LAsi et ne s'est, en conséquence, pas vu reconnaître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6.4</w:t>
      </w:r>
    </w:p>
    <w:p>
      <w:r>
        <w:t>En l'occurrence, comme l'a retenu le SEM a satisfaction de droit dans le cadre de l'examen des motifs d'asile du recourant, celui-ci n'a pas rendu crédible qu'un tel risque pèse sur lui. Le SEM a relevé notamment que l'intéressé n'avait fourni aucun élément concret étayant ses craintes hormis un unique appel téléphonique non documenté. De son côté, le Tribunal constate qu'effectivement, s'agissant des prétendues menaces en relation avec ses problèmes familiaux, le recourant n'en a précisé, à aucun moment, de manière convaincante, le contenu. Il n'a pas apporté non plus de preuve matérielle de leur existence. Au surplus, les affirmations du recourant quant à la probité des autorités judiciaires de son pays sont des suppositions qu'aucune preuve matérielle ne vient étayer. On ne saurait donc considérer, même dans les circonstances qu'il a décrites, que celui-ci ne pourrait obtenir la protection des autorités de son pays.</w:t>
      </w:r>
    </w:p>
    <w:p>
      <w:r>
        <w:rPr>
          <w:b/>
        </w:rPr>
        <w:t>E. 6.5</w:t>
      </w:r>
    </w:p>
    <w:p>
      <w:r>
        <w:t>Dès lors, l'exécution du renvoi du recourant ne transgresse aucun engagement de la Suisse relevant du droit international, de sorte qu'elle s'avère licite.</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et jurisp. cit.).</w:t>
      </w:r>
    </w:p>
    <w:p>
      <w:r>
        <w:rPr>
          <w:b/>
        </w:rPr>
        <w:t>E. 7.2</w:t>
      </w:r>
    </w:p>
    <w:p>
      <w:r>
        <w:t>Dans sa jurisprudence publiée, le Tribunal a distingué la situation régnant dans les trois provinces kurdes du nord, Dohuk, Erbil et Suleymaniya, de celle du reste de l'Irak, et estimé que l'exécution de renvoi pouvait raisonnablement y être exigée, pour autant que le requérant soit originaire de l'une de ces provinces ou qu'il y ait vécu pendant une longue période et qu'il y dispose d'un réseau social (cf. ATAF 2008/5, consid. 7.5, en particulier consid. 7.5.8). Il a confirmé cette jurisprudence dans un arrêt de référence E-3737/2015 du 14 décembre 2015 (consid. 7.4.2 et 7.4.5), dans lequel il a retenu qu'en dépit des affrontements opposant les combattants de DAECH et les peshmergas en Irak, l'exécution du renvoi demeure en principe exigible pour les hommes jeunes, d'ethnie kurde, en bonne santé, originaires des provinces de Dohuk, d'Erbil, de SULEYMANIYA et de la nouvelle province de Halabja ou y ayant vécu durant une longue période et y disposant d'un réseau social (famille, parenté ou amis) ou de liens avec les partis dominants.</w:t>
      </w:r>
    </w:p>
    <w:p>
      <w:r>
        <w:rPr>
          <w:b/>
        </w:rPr>
        <w:t>E. 7.3</w:t>
      </w:r>
    </w:p>
    <w:p>
      <w:r>
        <w:t>En l'espèce, le dossier ne contient aucun élément dont on pourrait déduire que l'exécution du renvoi impliquerait une mise en danger concrète du recourant. A cet égard, le Tribunal relève que celui-ci a vécu à Suleymaniya de 199(...) à 20(...), qu'il y dispose d'un réseau social, qu'il est jeune et d'ethnie kurde. Bien qu'alléguant être en mauvais terme avec son père et sa belle-mère, le recourant est au bénéfice d'une formation professionnelle et a travaillé dans la construction.</w:t>
      </w:r>
    </w:p>
    <w:p>
      <w:r>
        <w:rPr>
          <w:b/>
        </w:rPr>
        <w:t>E. 7.4</w:t>
      </w:r>
    </w:p>
    <w:p>
      <w:r>
        <w:t>S'agissant des problèmes médicaux abordés uniquement devant le SEM, le Tribunal rappelle ce qui suit.</w:t>
      </w:r>
    </w:p>
    <w:p>
      <w:r>
        <w:rPr>
          <w:b/>
        </w:rPr>
        <w:t>E. 7.4.1</w:t>
      </w:r>
    </w:p>
    <w:p>
      <w:r>
        <w:t>L'exécution du renvoi des personnes atteintes dans leur santé ne devient inexigible, en cas de retour dans leur pays d'origine ou de provenance, que dans la mesure où elles pourraient ne plus recevoir les soins essentiels garantissant des conditions minimales d'existences ; par soins essentiels, il faut entendre les soins de médecine générale et d'urgence absolument nécessaire à la garantie de la dignité humaine. L'art. 83 al. 4 LEtr ne saurait en revanche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 1003 s. et ATAF 2009/2 consid. 9.3.2, p. 21).</w:t>
      </w:r>
    </w:p>
    <w:p>
      <w:r>
        <w:rPr>
          <w:b/>
        </w:rPr>
        <w:t>E. 7.4.2</w:t>
      </w:r>
    </w:p>
    <w:p>
      <w:r>
        <w:t>En l'espèce, le recourant a déposé devant le SEM une attestation médicale, datée du 19 septembre 2017, indiquant qu'il est au bénéfice d'un suivi psychiatrique et médicamenteux pour un trouble de l'adaptation avec réaction anxieuse et dépressive. Dans son recours, il n'évoque pas de problèmes médicaux.</w:t>
      </w:r>
    </w:p>
    <w:p>
      <w:r>
        <w:rPr>
          <w:b/>
        </w:rPr>
        <w:t>E. 7.4.3</w:t>
      </w:r>
    </w:p>
    <w:p>
      <w:r>
        <w:t>Sans vouloir minimiser les affections du recourant, le Tribunal retient, à l'instar du SEM, qu'elles n'apparaissent pas d'une gravité telle que le retour dans son pays serait inexigible au sens restrictif de la jurisprudence précitée. En outre, le traitement qui semble être prodigué en Suisse pourra être poursuivi en Irak. En effet, les maladies psychiques peuvent y être traitées dans les hôpitaux gouvernementaux du pays. Le Tribunal rappelle que le nord de l'Irak dispose de structures médicales offrant des soins médicaux essentiels, au sens de la jurisprudence précitée (cf. arrêt du Tribunal D-404/2015 du 20 juin 2017, consid. 11.7.2 et les réf. citées, arrêt du Tribunal E-561/2017 du 24 juillet 2017, consid. 5.6). L'état de santé de l'intéressé ne saurait ainsi se dégrader très rapidement, en raison d'un renvoi vers ce pays, au point de conduire d'une manière certaine à la mise en danger concrète de sa vie ou à une atteinte sérieuse, durable, et notablement plus grave de son intégrité physique (cf. ATAF 2011/50 précité consid. 8.3 par. 1 p. 1003 s. et réf. cit.). Plus particulièrement, il faut préciser que le nord de l'Irak n'est pas dépourvu d'établissements de soins et de praticiens, même si ces derniers font face à une sollicitation accrue en raison des nombreuses années de privation. Le fait que l'intéressé puisse ne pas avoir accès à des soins de la même qualité qu'en Suisse n'est donc pas décisif.</w:t>
      </w:r>
    </w:p>
    <w:p>
      <w:r>
        <w:rPr>
          <w:b/>
        </w:rPr>
        <w:t>E. 7.4.4</w:t>
      </w:r>
    </w:p>
    <w:p>
      <w:r>
        <w:t>Le recourant pourra se constituer une réserve de médicaments avant son départ de Suisse et, en cas de besoin, présenter au SEM, après la clôture de la présente procédure, une demande d'aide au retour au sens de l'art. 93 LAsi ; celle-ci lui assurera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7.5</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