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E-953/2025 vom 13. Januar 2025</w:t>
      </w:r>
    </w:p>
    <w:p>
      <w:r>
        <w:t>Bundesverwaltungsgericht, 2025-01-13, FR</w:t>
      </w:r>
    </w:p>
    <w:p>
      <w:r>
        <w:rPr>
          <w:b/>
        </w:rPr>
        <w:t xml:space="preserve">Quelle: </w:t>
      </w:r>
      <w:r>
        <w:t>https://mcp.opencaselaw.ch/entscheid/bvger_E-953_2025_d20250113</w:t>
      </w:r>
    </w:p>
    <w:p>
      <w:r>
        <w:t>FR: TAF E-953/2025 du 13 janvier 2025</w:t>
      </w:r>
    </w:p>
    <w:p>
      <w:r>
        <w:t>IT: TAF E-953/2025 del 13 gennaio 2025</w:t>
      </w:r>
    </w:p>
    <w:p>
      <w:pPr>
        <w:pStyle w:val="Heading2"/>
      </w:pPr>
      <w:r>
        <w:t>Regeste</w:t>
      </w:r>
    </w:p>
    <w:p>
      <w:r>
        <w:t>Asile et renvoi | Asile et renvoi; décision du SEM du 13 janvier 2025</w:t>
      </w:r>
    </w:p>
    <w:p>
      <w:pPr>
        <w:pStyle w:val="Heading2"/>
      </w:pPr>
      <w:r>
        <w:t>Erwägungen</w:t>
      </w:r>
    </w:p>
    <w:p>
      <w:r>
        <w:rPr>
          <w:b/>
        </w:rPr>
        <w:t>E. 11</w:t>
      </w:r>
    </w:p>
    <w:p>
      <w:r>
        <w:t>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un sérieux préjudice au sens de l’art. 3 LAsi (cf. supra), que, pour les mêmes raisons, il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qu’au vu de ce qui précède, l’exécution du renvoi s’avère licite au sens de l’art. 83 al. 3 LEI a contrario, que, sous l’angle de l’exigibilité de l’exécution du renvoi, le SEM a considéré que ni la Turquie ni les provinces du sud-est de ce pays n’étaient en proie sur l’ensemble de leur territoire à une guerre, une guerre civile ou une situation de violence généralisée,</w:t>
      </w:r>
    </w:p>
    <w:p>
      <w:r>
        <w:t>E-953/2025 Page 12 qu’il a relevé que l’exigibilité de l’exécution du renvoi du recourant dans la province de M._______ touchée par les tremblements de terre de 2023 devait faire l’objet d’un examen individuel, conformément à l’arrêt de référence du Tribunal E-1308/2023 du 19 mars 2024 consid. 11.3, qu’il a mis en évidence des atouts à la réinstallation du recourant en Turquie, que ce soit dans la province de M._______ ou ailleurs, à savoir ses différentes expériences professionnelles en tant que (…) et la présence dans ce pays d’un solide réseau familial dont il pouvait requérir le soutien, qu’il a estimé, en substance, que les problèmes médicaux allégués, à savoir une (…) et une dégradation de son état de santé mentale avec des menaces de suicide, n’étaient pas graves au sens de la jurisprudence (cf. ATAF 2011/50 consid. 8.3 ; voir aussi ATAF 2014/26 consid. 7.3 - 7.10), qu’il a ajouté que la Turquie disposait des infrastructures médicales et psychiatriques adaptées aux éventuelles prises en charge que le recourant nécessiterait, qu’il a précisé que, si des menaces auto-agressives concrètes devaient faire surface, elles obligeraient les autorités en charge de l’exécution du renvoi à prendre des mesures concrètes pour en prévenir la réalisation, le cas échéant en organisant le départ de Suisse avec un accompagnement médical, qu’il a ajouté que le recourant pourrait requérir une aide au retour à caractère médical conformément à l’art. 93 LAsi, que, pour ces raisons, il a conclu qu’il n’y avait pas non plus de facteur individuel de mise en danger concrète du recourant au sens de l’art. 83 al. 4 LEI, que les arguments du SEM concernant l’exigibilité de l’exécution du renvoi du recourant sont demeurés incontestés, que le Tribunal les fait siens et renvoie pour le surplus en ce qui les concerne aux considérants de la décision attaquée (cf. chap. III ch. 2 p. 9-12), suffisamment motivée, que l’exigibilité de l’exécution du renvoi au sens de l’art. 83 al. 4 LEI a contrario doit dès lors être également confirmée,</w:t>
      </w:r>
    </w:p>
    <w:p>
      <w:r>
        <w:t>E-953/2025 Page 13 que l'exécution du renvoi est enfin possible (cf. art. 83 al. 2 LEI a contrario), le recourant étant en possession de documents suffisants pour rentrer dans son pays ou, à tout le moins, en mesure d'entreprendre toute démarche nécessaire auprès de la représentation de son pays d'origine en vue de l'obtention d’un document de voyage lui permettant de quitter la Suisse (cf. art. 8 al. 4 LAsi et ATAF 2008/34 consid. 12), que c’est en conclusion à raison que le SEM a estimé que l’exécution du renvoi était licite, raisonnablement exigible et possible au sens de l’art. 83 al. 1 LEI a contrario, qu’au vu de ce qui précède, le recours doit également être rejeté en tant qu’il conteste la décision de renvoi ainsi que d’exécution de cette mesure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partielle doit être rejetée (cf. art. 65 al. 1 PA), que, vu l'issue de la cause, 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E-953/2025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