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E-9516/2025 vom 4. Dezember 2025</w:t>
      </w:r>
    </w:p>
    <w:p>
      <w:r>
        <w:t>Bundesverwaltungsgericht, 2025-12-04, DE</w:t>
      </w:r>
    </w:p>
    <w:p>
      <w:r>
        <w:rPr>
          <w:b/>
        </w:rPr>
        <w:t xml:space="preserve">Quelle: </w:t>
      </w:r>
      <w:r>
        <w:t>https://mcp.opencaselaw.ch/entscheid/bvger_E-9516_2025_d20251204</w:t>
      </w:r>
    </w:p>
    <w:p>
      <w:r>
        <w:t>FR: TAF E-9516/2025 du 4 décembre 2025</w:t>
      </w:r>
    </w:p>
    <w:p>
      <w:r>
        <w:t>IT: TAF E-9516/2025 del 4 dicembre 2025</w:t>
      </w:r>
    </w:p>
    <w:p>
      <w:pPr>
        <w:pStyle w:val="Heading2"/>
      </w:pPr>
      <w:r>
        <w:t>Regeste</w:t>
      </w:r>
    </w:p>
    <w:p>
      <w:r>
        <w:t>Flughafenverfahren (Asyl und Wegweisung) | Flughafenverfahren (Asyl und Wegweisung); Verfügung des SEM vom 4. Dezember 2025</w:t>
      </w:r>
    </w:p>
    <w:p>
      <w:pPr>
        <w:pStyle w:val="Heading2"/>
      </w:pPr>
      <w:r>
        <w:t>Erwägungen</w:t>
      </w:r>
    </w:p>
    <w:p>
      <w:r>
        <w:rPr>
          <w:b/>
        </w:rPr>
        <w:t>E. 2</w:t>
      </w:r>
    </w:p>
    <w:p>
      <w:r>
        <w:t>Dezember 2025 alle entscheidrelevanten Akten ausgehändigt wurden, womit ihm ein schützenswertes Interesse an einer erneuten Einsicht innert kurzer Frist abzusprechen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der Beschwerdeführer in der Beschwerdeschrift erneut auf seine psy- chischen Beschwerden hinwies, nachdem er bereits in der Stellungnahme eine unvollständige Abklärung des medizinischen Sachverhalts geltend machte, dass in den Akten nichts dafürspricht, die Vorinstanz habe den relevanten Sachverhalt unvollständig oder fehlerhaft festgestellt oder gewürdigt, dass die Vorinstanz sich im Übrigen zu Behandlungsmöglichkeiten allfälli- ger gesundheitlicher und psychischer Beschwerden in Marokko äusserte, dass sie nach dem Gesagten zu Recht auf weitere Abklärungen seines Gesundheitszustands verzichtete,</w:t>
      </w:r>
    </w:p>
    <w:p>
      <w:r>
        <w:t>E-9516/2025 Seite 5 dass vorliegend somit kein Grund für eine Rückweisung der Sache an die Vorinstanz besteht,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wobei die Flüchtlingseigen- schaft glaubhaft gemacht ist, wenn die Behörde ihr Vorhandensein mit überwiegender Wahrscheinlichkeit für gegeben hält, dass die Vorinstanz zur Begründung im Wesentlichen anführte, die Vorbrin- gen des Beschwerdeführers hielten den Anforderungen an die Flüchtlings- eigenschaft gemäss Art. 3 AsylG nicht stand, dass die geltend gemachten Nachteile aufgrund der ihm zugeschriebenen «Zouhri-Persönlichkeit» nicht die erforderliche Intensität für die Anerken- nung der Flüchtlingseigenschaft erreichen würden, dass grundsätzlich von der Schutzfähig- und Schutzwilligkeit des marokka- nischen Staates auszugehen sei und der Beschwerdeführer darauf ver- zichtet habe, den Schutz der heimatlichen Behörden in Anspruch zu neh- men, dass es dem Beschwerdeführer zudem möglich sei, sich den geltend ge- machten lokalen Verfolgungsmassnahmen durch einen Wegzug zu entzie- hen, dass kein Kausalzusammenhang zwischen den geltend gemachten Nach- teilen und der Ausreise bestehe und die Aktualität der Verfolgung nicht ge- geben sei, dass auch die Einwände in der Stellungnahme vom 3. Dezember 2025 da- ran nichts zu ändern vermögen, dass sich auch aus den eingereichten Beweismitteln keine konkreten Hin- weise auf eine Verfolgung ergeben würden,</w:t>
      </w:r>
    </w:p>
    <w:p>
      <w:r>
        <w:t>E-9516/2025 Seite 6 dass in der Beschwerdeschrift im Wesentlichen die Vorbringen aus dem erstinstanzlichen Verfahren wiederholt werden und erneut auf den fehlen- den staatlichen Schutz sowie auf die psychischen Beschwerden hingewie- sen wird, dass die vollständigen und überzeugenden vorinstanzlichen Ausführungen in der angefochtenen Verfügung vollumfänglich bestätigt werden können, in der Beschwerde dem nichts Wesentliches entgegengehalten wird und zur Vermeidung von Wiederholungen daher darauf verwiesen werden kann, dass das Gericht – wie die Vorinstanz – davon ausgeht, dass Marokko über eine funktionierende Infrastruktur zur Ahndung von Verfolgungshandlun- gen verfügt und grundsätzlich von der Schutzfähigkeit und dem Schutzwil- len der dortigen Behörden im Sinne der Schutztheorie auszugehen ist (vgl. statt vieler Urteil des BVGer D-446/2025 vom 10. Februar 2025 E. 6.3.1 m.w.H.), dass die pauschale subjektive Einschätzung des Beschwerdeführers, die Behörden seien weder willens noch fähig, sich um Anliegen betreffend die «Magier» zu kümmern, die Schutzfähigkeit und den Schutzwillen der hei- matlichen Behörden nicht generell in Frage zu stellen zu vermag, dass sich den Akten keine konkreten Hinweise für die Annahme entneh- men lassen, die heimatlichen Behörden würden ihm bei Bedarf den erfor- derlichen Schutz verweigern und der Beschwerdeführer nicht darzutun ver- mag, dass die marokkanischen Behörden nicht schutzwillig oder schutzfä- hig wären, dass der geltend gemachten Bedrohung durch die «Magier» daher – in Übereinstimmung mit der Vorinstanz – keine asylrechtliche Relevanz bei- zumessen ist, dass auch den weiteren Ausführungen der Vorinstanz zur Aktualität der Verfolgung sowie zur innerstaatlichen Fluchtalternative vollumfänglich zu- zustimmen ist, dass die mit der Stellungnahme eingereichten Beweismittel an dieser Ein- schätzung nichts zu ändern vermögen, zumal diese keinen konkreten Be- zug zum Beschwerdeführer aufweisen,</w:t>
      </w:r>
    </w:p>
    <w:p>
      <w:r>
        <w:t>E-9516/2025 Seite 7 dass es dem Beschwerdeführer nicht gelingt, die Flüchtlingseigenschaft nachzuweisen oder glaubhaft zu machen und die Vorinstanz das Asylge- such mithin zu Recht ablehnte,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von der Vorinstanz ebenfalls zu Recht angeordnet wurde, dass die Vorinstanz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w:t>
      </w:r>
    </w:p>
    <w:p>
      <w:r>
        <w:t>E-9516/2025 Seite 8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weshalb der Voll- zug der Wegweisung vorliegend zumutbar ist, dass in Marokko weder Krieg, Bürgerkrieg noch eine Situation allgemeiner Gewalt herrscht, aufgrund derer die Zivilbevölkerung als konkret gefährdet bezeichnet werden müsste und der Wegweisungsvollzug grundsätzlich zu- mutbar ist (vgl. statt vieler Urteil D-446/2025 E. 8.3.1 m.w.H), dass die Vorinstanz insbesondere zutreffend feststellte, die psychiatrische Gesundheitsversorgung sei in Marokko grundsätzlich gewährleistet, wes- halb davon auszugehen sei, die geltend gemachten medizinischen Prob- leme des Beschwerdeführers könnten dort behandelt werden und ihm sei bei Bedarf eine entsprechende Behandlung in seinem Heimatstaat faktisch erneut zugänglich, dass ergänzend zu erwähnen ist, dass Marokko generell über ein gut ent- wickeltes Gesundheitssystem und vor allem in städtischen Zentren über eine genügende Anzahl von Einrichtungen verfügt, die auch psychiatrische oder psychologische Therapien anbieten (vgl. etwa das Urteil des BVGer D-3307/2024 vom 22. August 2024 E. 7.4.4), dass darüber hinaus nichts auf eine ernsthafte Erkrankung des Beschwer- deführers respektive auf eine im Falle seiner Rückkehr rasche und lebens- gefährdende Beeinträchtigung seines Gesundheitszustandes hindeutet, dass es dem Beschwerdeführer dank seines familiären Netzes in Marokko und seiner Berufserfahrung zuzumuten ist, in seinem Heimatland wieder eine Existenz aufzubauen, dass in der Beschwerde dem nichts Substanzielles entgegengehalten wird,</w:t>
      </w:r>
    </w:p>
    <w:p>
      <w:r>
        <w:t>E-9516/2025 Seite 9 dass der Vollzug der Wegweisung des Beschwerdeführers in den Heimat- staat schliesslich möglich ist (Art. 83 Abs. 2 AIG), dass nach dem Gesagten der von der Vorinstanz verfügte Vollzug der Weg- weisung zu bestätigen ist und auch sein Gesuch um Einreiseerlaubnis zur Weiterreise in einen Drittstaat abzuweisen ist, dass die angefochtene Verfügung Bundesrecht nicht verletzt, den rechts- erheblichen Sachverhalt richtig sowie vollständig feststellt und – soweit überprüfbar – angemessen ist, weshalb die Beschwerde abzuweisen ist, dass bei diesem Ausgang des Verfahrens die Kosten von Fr. 1’000.– (Art. 1–3 des Reglements vom 21. Februar 2008 über die Kosten und Ent- schädigungen vor dem Bundesverwaltungsgericht [VGKE, SR 173.320.2]) dem Beschwerdeführer aufzuerlegen sind (Art. 63 Abs. 1 VwVG).</w:t>
      </w:r>
    </w:p>
    <w:p>
      <w:r>
        <w:t>(Dispositiv nächste Seite)</w:t>
      </w:r>
    </w:p>
    <w:p>
      <w:r>
        <w:t>E-9516/2025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