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E-947/2015 vom 2. März 2015</w:t>
      </w:r>
    </w:p>
    <w:p>
      <w:r>
        <w:t>Bundesverwaltungsgericht, 2015-03-02, DE</w:t>
      </w:r>
    </w:p>
    <w:p>
      <w:r>
        <w:rPr>
          <w:b/>
        </w:rPr>
        <w:t xml:space="preserve">Quelle: </w:t>
      </w:r>
      <w:r>
        <w:t>https://mcp.opencaselaw.ch/entscheid/bvger_E-947_2015</w:t>
      </w:r>
    </w:p>
    <w:p>
      <w:r>
        <w:t>FR: TAF E-947/2015 du 2 mars 2015</w:t>
      </w:r>
    </w:p>
    <w:p>
      <w:r>
        <w:t>IT: TAF E-947/2015 del 2 marzo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knapp formgenügend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sinngemäss gegen sämtliche Dispositivziffern der angefochtenen Verfügung.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Asyl, sofern keine Asylausschlussgründe nach Art. 50 ff. AsylG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ist Staatsangehöriger von Kosovo. Der Bundesrat hat dieses Land mit Beschluss vom 6. März 2009 (und Wirkung ab 1. April 2009) als zum verfolgungssicheren Staat (safe country) erklärt. Massgebliche Kriterien zur Bezeichnung eines Staates als verfolgungssicher sind dessen Einhaltung der Menschenrechte und die Anwendung internationaler Konventionen im Menschenrechtsbereich. Zu prüfen bleibt, ob die Vorinstanz zu Recht erwogen hat, aus den Akten würden sich keine Hinweise auf eine asylrelevante Verfolgung ergeben, welche die in Bezug auf Kosovo bestehende Vermutung der Verfolgungssicherheit widerlegen könnten.</w:t>
      </w:r>
    </w:p>
    <w:p>
      <w:r>
        <w:rPr>
          <w:b/>
        </w:rPr>
        <w:t>E. 4.2</w:t>
      </w:r>
    </w:p>
    <w:p>
      <w:r>
        <w:t>Die Vorinstanz hat in der Verfügung vom 6. Februar 2015 einlässlich begründet, weshalb die Vorbringen des Beschwerdeführers, selbst wenn sie glaubhaft wären, nicht asylrelevant seien. Der Beschwerdeführer setzt sich in seiner Beschwerde mit der vorinstanzlichen Verfügung nicht auseinander und zeigt damit nicht auf, inwiefern diese Bundesrecht verletzen oder auf einer fehlerhaften Sachverhaltsfeststellung beruhen soll. Der Beschwerdeführer vertritt in der Beschwerde die Auffassung, wegen vieler Schulden und der Gefährdung seines Lebens nicht ausreisen zu können. Allerdings hat sich der Beschwerdeführer eigenen Angaben zufolge noch nie wegen der Drohungen des Gläubigers an die zuständigen Behörden in Kosovo gewandt. Er hat somit die unbestrittene Schutzfähigkeit und -willigkeit Kosovos nie in Anspruch genommen. Zur angeblich drohenden Blutrache seitens der Angehörigen des verunfallten und repatriierten Kosovaren ist anzufügen, dass sich der Beschwerdeführer bei allfälligem Bedarf ebenfalls an die zuständigen Behörden in Kosovo wenden könnte. In diesem Zusammenhang ist zudem nicht bekannt geworden, dass die Familienangehörigen in Kosovo konkrete Nachteile seitens der Angehörigen des Verunfallten erlebt hätten. Ferner lässt sich aus den Berichten über den Unfall des Kosovaren vom 12. Januar 2015 nicht ableiten, dass der Beschwerdeführer etwas mit diesem zu tun gehabt hätte. Schliesslich ist das Verhalten des Vaters, ihn von zu Hause wegzujagen (vgl. SEM-Akten A12 S.3), ein familieninternes Problem. In Übereinstimmung mit der Vorinstanz ist somit festzustellen, dass die geltend gemachten Ereignisse keine flüchtlingsrechtliche Relevanz aufweisen. Ausserdem sind Nachteile, die auf allgemeinen politischen und sozialen Lebensbedingungen in einem Staat beruhen, keine asylbeachtlichen Verfolgungen im Sinne von Art. 3 AsylG. Zusammenfassend sind die Asylangaben des Beschwerdeführers flüchtlingsrechtlich nicht relevant. Die Vorinstanz hat das Asylgesuch des Beschwerdeführers zu Recht und mit einer zutreffenden Begründung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seinem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Kosovo, das der Bundesrat zum safe country im Sinne von Art. 6a Abs. 2 Bst. a AsylG erklärt hat, herrscht keine Situation allgemeiner Gewalt. Weder die allgemeine Lage in Kosovo noch individuelle Gründe lassen den Wegweisungsvollzug des (...)-jährigen, (...) Beschwerdeführers als unzumutbar erscheinen. Seiner Rückkehr nach Kosovo stehen keine individuellen Gründe politischer, wirtschaftlicher, sozialer oder gesundheitlicher Natur entgegen. Er hat seinen Angaben zufolge vor der Ausreise ein halbes Jahr lang mehrheitlich bei andern Verwandten als seinen Eltern logiert (vgl. SEM-Akten A8 S. 4), womit zu schliessen ist, dass seine Wohnsituation als gesichert gelten und er zumindest am Anfang auf Unterstützung dieser Verwandten zählen kann. Er findet somit im Heimatland ein tragfähiges Familien- und Beziehungsnetz vor. Blosse soziale oder wirtschaftliche Schwierigkeiten, von denen die ansässige Bevölkerung im Allgemeinen betroffen ist, stellen im Übrigen keine Gefährdung i.S. von Art. 83 Abs. 4 AuG dar. Damit erweist sich der Vollzug der Wegweisung als zumutbar.</w:t>
      </w:r>
    </w:p>
    <w:p>
      <w:r>
        <w:rPr>
          <w:b/>
        </w:rPr>
        <w:t>E. 6.4</w:t>
      </w:r>
    </w:p>
    <w:p>
      <w:r>
        <w:t>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w:t>
      </w:r>
    </w:p>
    <w:p>
      <w:r>
        <w:rPr>
          <w:b/>
        </w:rPr>
        <w:t>E. 6.5</w:t>
      </w:r>
    </w:p>
    <w:p>
      <w:r>
        <w:t>Zusammenfassend ist der vom SEM angeordnete Wegweisungsvollzug nicht zu beanstanden. Eine Anordnung der vorläufigen Aufnahme fällt bei dieser Lage ausser Betracht (vgl. Art. 83 Abs. 1-4 AuG).</w:t>
      </w:r>
    </w:p>
    <w:p>
      <w:r>
        <w:rPr>
          <w:b/>
        </w:rPr>
        <w:t>E. 7</w:t>
      </w:r>
    </w:p>
    <w:p>
      <w:r>
        <w:t>Nach dem Gesagten verletzt die angefochtene Verfügung Bundesrecht nicht und ist auch sonst nicht zu beanstanden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