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E-9437/2025 vom 24. April 2026</w:t>
      </w:r>
    </w:p>
    <w:p>
      <w:r>
        <w:t>Bundesverwaltungsgericht, 2026-04-24, DE</w:t>
      </w:r>
    </w:p>
    <w:p>
      <w:r>
        <w:rPr>
          <w:b/>
        </w:rPr>
        <w:t xml:space="preserve">Quelle: </w:t>
      </w:r>
      <w:r>
        <w:t>https://mcp.opencaselaw.ch/entscheid/bvger_E-9437_2025</w:t>
      </w:r>
    </w:p>
    <w:p>
      <w:r>
        <w:t>FR: TAF E-9437/2025 du 24 avril 2026</w:t>
      </w:r>
    </w:p>
    <w:p>
      <w:r>
        <w:t>IT: TAF E-9437/2025 del 24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 zur Beschwerdeführung legitimiert (Art. 48 Abs. 1 VwVG). Die Beschwerde ist frist- und formgereicht eingereicht worden (Art. 72 i.V.m. Art. 108 Abs. 6 AsylG; Art. 52 Abs. 1 VwVG). Auf die Beschwerde ist einzutreten.</w:t>
      </w:r>
    </w:p>
    <w:p>
      <w:r>
        <w:rPr>
          <w:b/>
        </w:rPr>
        <w:t>E. 2</w:t>
      </w:r>
    </w:p>
    <w:p>
      <w:r>
        <w:t>Der Streitgegenstand begrenzt sich entsprechend des klaren Antrags und der Begründung auf die Frage der Rückweisung der Sache an das SEM. Nicht angefochten worden ist mangels entsprechender Begründung die Kantonszuweisung.</w:t>
      </w:r>
    </w:p>
    <w:p>
      <w:r>
        <w:rPr>
          <w:b/>
        </w:rPr>
        <w:t>E. 3</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 Gestützt auf Art. 111a Abs. 1 AsylG (i.V.m. Art. 72 AsylG) wurde auf die Durchführung eines Schriftenwechsels verzichtet.</w:t>
      </w:r>
    </w:p>
    <w:p>
      <w:r>
        <w:rPr>
          <w:b/>
        </w:rPr>
        <w:t>E. 5.1</w:t>
      </w:r>
    </w:p>
    <w:p>
      <w:r>
        <w:t>Das SEM begründete seine Verfügung damit, dass die Beschwerdeführerin bereits in Deutschland über Schutz verfüge, weshalb sie nicht auf denjenigen der Schweiz angewiesen sei. An der mangelnden Schutzbedürftigkeit ändere auch eine allfällige Beendigung des betreffenden Schutzstatus nichts. Die Beschwerdeführerin könne ihren vormaligen Schutzstatus in Deutschland erneuern. Aus den Akten und den Ausführungen der Beschwerdeführerin gehe auch nicht hervor, dass sie Deutschland unfreiwillig verlassen habe. Eine ausdrückliche Rückübernahmezusicherung Deutschlands sei aufgrund der aktuellen Schutzalternative nicht zwingend erforderlich. Gründe, die den Vollzug nach Deutschland unzulässig erscheinen lassen könnten, seien nicht ersichtlich. Ferner sei der Vollzug in einen EU- oder EFTA-Staat in der Regel zumutbar und der Beschwerdeführerin sei es nicht gelungen, diese Vermutung umzustossen. Bei den volljährigen Kindern in der Schweiz handle es sich nicht um Familienmitglieder der Kernfamilie im Sinne des Gesetzgebers und ein besonderes Abhängigkeitsverhältnis sei nicht ersichtlich.</w:t>
      </w:r>
    </w:p>
    <w:p>
      <w:r>
        <w:rPr>
          <w:b/>
        </w:rPr>
        <w:t>E. 5.2</w:t>
      </w:r>
    </w:p>
    <w:p>
      <w:r>
        <w:t>In der Beschwerde wurde im Wesentlichen entgegnet, die Vorinstanz habe, ohne die konkreten Umstände zu überprüfen und unter Anwendung einer pauschalen Begründung, ihre Abklärungs- und Begründungspflicht verletzt. Für die Anwendung des Subsidiaritätsprinzips sei entweder das Vorliegen eines gültigen Schutzstatus oder eine ausdrückliche Rückübernahmezusicherung des betreffenden Staates erforderlich.</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w:t>
      </w:r>
    </w:p>
    <w:p>
      <w:r>
        <w:rPr>
          <w:b/>
        </w:rPr>
        <w:t>E. 6.3</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7.1</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w:t>
      </w:r>
    </w:p>
    <w:p>
      <w:r>
        <w:rPr>
          <w:b/>
        </w:rPr>
        <w:t>E. 7.2</w:t>
      </w:r>
    </w:p>
    <w:p>
      <w:r>
        <w:t>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8.1</w:t>
      </w:r>
    </w:p>
    <w:p>
      <w:r>
        <w:t>Die Beschwerdeführerin ist durch einen mit Asyl- und Schutzverfahren vertrauten Rechtsbeistand vertreten. Sie hat ihr Rechtsmittel - mit ihren unmissverständlich formulierten Rechtsbegehren und der entsprechenden Beschwerdebegründung - auf die Frage beschränkt, ob die angefochtene Verfügung aus formellen Gründen aufzuheben und die Sache für eine erneute Durchführung des erstinstanzlichen Verfahrens an die Vorinstanz zurückzuweisen sei. Sinngemäss rügt sie eine unvollständige Sachverhaltsabklärung sowie eine Verletzung der vor-instanzlichen Begründungspflicht (und insoweit ihres rechtlichen Gehörs).</w:t>
      </w:r>
    </w:p>
    <w:p>
      <w:r>
        <w:rPr>
          <w:b/>
        </w:rPr>
        <w:t>E. 8.2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darüber Beweis zu führen hat (vgl. BVGE 2015/10 E. 3.2 m.w.H.; Krauskopf / Wysseling, Art. 12 N 15 ff., in: Waldmann / Krauskopf [Hrsg.], Praxiskommentar Verwaltungsverfahrensgesetz, 3. Aufl. 2023). Der Grundsatz des rechtlichen Gehörs (Art. 29 Abs. 2 BV, Art. 29 VwVG, Art. 32 Abs. 1 VwVG) verlangt, dass die Behörde die Vorbringen des Betroffenen tatsächlich hört, sorgfältig und ernsthaft prüft und in der Entscheidungsfindung berücksichtigt, was sich entsprechend in der Entscheidbegründung niederschlagen muss (vgl. Art. 35 Abs. 1 VwVG).</w:t>
      </w:r>
    </w:p>
    <w:p>
      <w:r>
        <w:rPr>
          <w:b/>
        </w:rPr>
        <w:t>E. 8.3</w:t>
      </w:r>
    </w:p>
    <w:p>
      <w:r>
        <w:t>Der zentrale Teil der Beschwerdebegründung betrifft eine kürzlich durch das Bundesverwaltungsgericht geklärte Frage: Im Grundsatzurteil vom 9. Februar 2026 hat das Gericht festgestellt, dass - sofern die drei oben erwähnten Voraussetzungen gegeben sind (vgl. oben) - das Vorliegen einer valablen Schutzalternative zu bejahen ist, auch wenn keine Rückübernahmezusicherung des betreffenden Drittstaates eingeholt worden ist (vgl. Urteil D-4601/2025 a.a.O. E. 6.3). Insbesondere in Bezug auf Deutschland ist vom Bestand einer valablen Schutzalternativen auszugehen (vgl. beispielhaft Urteil E-5086/2025 vom 20. März 2026, E. 5.2.) Die entsprechenden formellen Rügen erweisen sich damit als unbegründet.</w:t>
      </w:r>
    </w:p>
    <w:p>
      <w:r>
        <w:rPr>
          <w:b/>
        </w:rPr>
        <w:t>E. 8.4</w:t>
      </w:r>
    </w:p>
    <w:p>
      <w:r>
        <w:t>Nach Durchsicht der Akten ist ferner festzustellen, dass das SEM den rechtserheblichen Sachverhalt korrekt und vollständig abgeklärt hat. Nach dem soeben Gesagten ist namentlich nicht ersichtlich, in welcher Hinsicht weitere Abklärungen hätten vorgenommen werden müssen.</w:t>
      </w:r>
    </w:p>
    <w:p>
      <w:r>
        <w:rPr>
          <w:b/>
        </w:rPr>
        <w:t>E. 8.5</w:t>
      </w:r>
    </w:p>
    <w:p>
      <w:r>
        <w:t>Im Weiteren hat sich das SEM mit den wesentlichen Vorbringen der Beschwerdeführerin auseinandergesetzt und in der angefochtenen Verfügung rechtsgenügend die Überlegungen genannt, die zu dem Entscheid geführt haben. Im Übrigen war es der Beschwerdeführerin offensichtlich ohne weiteres möglich, den vorinstanzlichen Entscheid sachgerecht anzufechten (vgl. etwa BVGE 2011/37 E. 5.4.2 oder 2008/47E. 3.2, je m.w.H.). Damit liegt im Ergebnis auch keine Verletzung der vorinstanzlichen Begründungspflicht oder des rechtlichen Gehörs der Beschwerdeführerin vor.</w:t>
      </w:r>
    </w:p>
    <w:p>
      <w:r>
        <w:rPr>
          <w:b/>
        </w:rPr>
        <w:t>E. 8.6</w:t>
      </w:r>
    </w:p>
    <w:p>
      <w:r>
        <w:t>Die verfahrensrechtlichen Rügen erweisen sich als unzutreffend. Es besteht keine Veranlassung, die angefochtene Verfügung aus formellen Gründen aufzuheben und die Sache ans SEM zurückzuweisen.</w:t>
      </w:r>
    </w:p>
    <w:p>
      <w:r>
        <w:rPr>
          <w:b/>
        </w:rPr>
        <w:t>E. 8.7</w:t>
      </w:r>
    </w:p>
    <w:p>
      <w:r>
        <w:t>Die Beschwerdeführerin hat keine materielle Überprüfung der (praxiskonform erscheinenden) Verfügung des SEM vom 6. November 2025 beantragt. Inhaltliche Ausführungen zur Verweigerung des Schutzstatus sowie zur Anordnung der Wegweisung und des Wegweisungsvollzugs erübrigen sich damit (vgl. Urteil E-1508/2025 vom 16. März 2026, E. 6.7.).</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der Beschwerdeführerin aufzuerlegen (Art. 63 Abs. 1 VwVG). Da indes ihre Rechtsbegehren zumindest zum Zeitpunkt der Beschwerdeerhebung nicht aussichtslos waren und eine Mittellosigkeit ausgewiesen wurde, sind die Gesuche um Gewährung der unentgeltliche Prozessführung und um Beiordnung eines unentgeltlichen Rechtsvertreters gutzuheissen. Dementsprechend ist von der Auflage von Verfahrenskosten abzusehen. Ferner ist dem Rechtsbeistand ein Honorar für die notwendigen Aufwendungen im Beschwerdeverfahren auszurichten. Mit Beschwerdeeingabe vom 5. Dezember 2025 wurde mit beigelegter Note ein Honorar in Höhe von Fr. 872.50 ausgewiesen. Dieser Betrag ist indes zu hoch und ist angemessen zu kürzen. Hierbei erscheint insbesondere der ausgewiesene zeitliche Umfang von 4 Stunden für die Ausarbeitung der Beschwerdeschrift unangemessen. Dabei ist gebührend zu berücksichtigen, dass für den weit überwiegenden Teil der Beschwerde vom 5. Dezember 2025 (mit Ausnahme des Sachverhalts, Prozessgeschichte und vereinzelten individuellen Ausführungen) pauschal vorbestehende Bausteine früherer Beschwerdeeingaben des Rechtsvertreters verwendet wurden (vgl. beispielhaft Beschwerde vom 31. Oktober 2025 in E-8402/2025) und somit in bedeutendem Masse Synergieeffekte genutzt werden konnten. Die Höhe der Parteientschädigung ist auf pauschal Fr. 400.-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