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E-939/2010 vom 7. Mai 2012</w:t>
      </w:r>
    </w:p>
    <w:p>
      <w:r>
        <w:t>Bundesverwaltungsgericht, 2012-05-07, DE</w:t>
      </w:r>
    </w:p>
    <w:p>
      <w:r>
        <w:rPr>
          <w:b/>
        </w:rPr>
        <w:t xml:space="preserve">Quelle: </w:t>
      </w:r>
      <w:r>
        <w:t>https://mcp.opencaselaw.ch/entscheid/bvger_E-939_2010</w:t>
      </w:r>
    </w:p>
    <w:p>
      <w:r>
        <w:t>FR: TAF E-939/2010 du 7 mai 2012</w:t>
      </w:r>
    </w:p>
    <w:p>
      <w:r>
        <w:t>IT: TAF E-939/2010 del 7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des Dispositivs der vorinstanzlichen Verfügung sind in Rechtskraft erwachsen, zumal sich die Beschwerde ausdrücklich nur gegen den Vollzug der Wegweisung richtet. Betreffend die angeordnete Wegweisung wird weder ein konkreter Antrag gestellt, noch lässt sich ein solcher sinngemäss aus der Begründung ableiten. Demzufolge ist auch im vorliegenden Beschwerdeverfahren die Wegweisung als solche grundsätzlich nicht mehr zu überprüfen. Gegenstand des vorliegenden Verfahrens bildet somit - entsprechend dem Rechtsbegehren lediglich die Frage, ob das BFM den Vollzug der Wegweisung zu Recht als zulässig, zumutbar und möglich erachtet hat oder, ob an seine Stelle die vorläufige Aufnahme anzuordnen ist.</w:t>
      </w:r>
    </w:p>
    <w:p>
      <w:r>
        <w:rPr>
          <w:b/>
        </w:rPr>
        <w:t>E. 4.1</w:t>
      </w:r>
    </w:p>
    <w:p>
      <w:r>
        <w:t>Das BFM führte in der angefochtenen Verfügung aus, in den drei von der kurdischen Regionalregierung kontrollierten nordirakischen Provinzen Dohuk, Erbil und Suleimaniya herrsche keine Situation allgemeiner Gewalt. Der Wegweisungsvollzug dahin sei grundsätzlich zumutbar. Der Beschwerdeführer sei halb Araber und halb Kurde, weil seine Mutter eine aus C._______ (Provinz Dohuk) stammende Kurdin sei. Ausserdem verfüge er dort über mehrere Verwandte mütterlicherseits, auch wenn er versucht habe, dem zu widersprechen. Immerhin habe er zu Beginn der beiden Anhörungen stets von Verwandten in der Mehrzahl gesprochen. Daneben sei seine Identitätskarte im Mai 2009 in C._______ ausgestellt worden, was den Schluss nahelege, dass er - entgegen seinen Behauptungen - eine gewisse Beziehung zur Region C._______ gehabt haben müsse, zumindest eine weitere als nur jene, wonach Papiere der Familie von seinem Vater dorthin verlegt worden seien. Auch habe der Vater in der Vergangenheit in der Region C._______ gedient. Schliesslich habe sich der Beschwerdeführer zuerst als diplomierter (...) im Gebiet (...) ausgegeben, was er zwar im späteren Verlauf des Verfahrens wieder relativiert habe (nur zweieinhalb Jahre Studium ohne Abschluss) und er verfüge über eine mehrjährige Erfahrung im (...) seiner Familie, alles Elemente, die ihm eine Wiedereingliederung in die irakische Gesellschaft erleichtern würden. Somit könne er sich im Sinne eines innerstaatlichen Wohnsitzalternative in das kurdisch kontrollierte Gebiet Iraks begeben, namentlich in die Gegend von C._______. Daher sei der Vollzug der Wegweisung zumutbar. Ausserdem sei er auch möglich und durchführbar.</w:t>
      </w:r>
    </w:p>
    <w:p>
      <w:r>
        <w:rPr>
          <w:b/>
        </w:rPr>
        <w:t>E. 4.2</w:t>
      </w:r>
    </w:p>
    <w:p>
      <w:r>
        <w:t>In der Beschwerde wird geltend gemacht, der Beschwerdeführer sei einer Herkunftsanalyse unterzogen worden, gemäss welcher er aus Bagdad stamme. Er bezeichne sich selbst als Araber, was der ethnischen Zuordnung des Vaters entspreche. Er sei ein Kind eines gemischt-ethnischen Ehepaares aus Bagdad, spreche fliessend Arabisch und verstehe nur ein bisschen Kurdisch. Sein Vater habe als F._______ in der Armee Saddam Husseins gedient und er werde im kurdischen Teil Iraks nicht als Kurde angesehen. Die Behauptung der Vorinstanz, seine Mutter komme aus C._______ stimme zwar, es werde aus den Akten aber ersichtlich, dass C._______ der Ursprung ihrer Familie sei, nicht jedoch der Ort, wo sie einst gelebt habe. In den Befragungen habe der Beschwerdeführer gesagt, seine Mutter komme aus I._______, habe aber einen Cousin, der in C._______ lebe (A1/F12; A22 S. 3). Somit komme die Mutter aus der Region, die selbst in den Augen der Vorinstanz nicht als sicher eingestuft werde. Was den Ort seines Identitätsausweises betreffe, habe sich der Beschwerdeführer ausführlich und glaubwürdig geäussert. Es gehe zu weit, aus dem Ausstellungsort darauf zu schliessen, dass der Wegweisungsvollzug dorthin zumutbar sei. Im Sinne von D-4404/2006 vom 2. Mai 2008 wäre bereits die Einreise des Beschwerdeführers in die Nordprovinzen mit grossen Problemen behaftet und nur mit Hilfe einer so genannten Gewährsperson möglich. Zudem gehöre er als sunnitischer Araber zu einer Personengruppe mit besonderem Schutzbedarf. Im - mit der Beschwerdeergänzung eingereichten - ärztlichen Zeugnis vom 16. März 2010 werden im Wesentlichen Alpträume, Schlafstörungen, Zerstreutheit aufgrund der Explosion des (...) der Familie und der Bedrohung im Heimatland geltend gemacht. Durch die andauernde Belastung vor einer drohenden Rückschaffung, könne sich sein Zustand nicht verbessern und der behandelnde Arzt empfiehlt die Fortführung der psychiatrisch-psychotherapeutischen Behandlung.</w:t>
      </w:r>
    </w:p>
    <w:p>
      <w:r>
        <w:rPr>
          <w:b/>
        </w:rPr>
        <w:t>E. 5.1</w:t>
      </w:r>
    </w:p>
    <w:p>
      <w:r>
        <w:t>Gemäss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5.2</w:t>
      </w:r>
    </w:p>
    <w:p>
      <w:r>
        <w:t>Das Bundesverwaltungsgericht hat sich in BVGE 2008/4 und BVGE 2008/5 ausführlich mit der Sicherheitslage im Nordirak auseinandergesetzt. Im zweitgenannten Urteil befasste es sich insbesondere mit der Frage der Zumutbarkeit des Wegweisungsvollzugs in die drei kurdischen Provinzen des Nordiraks (Dohuk, Erbil, Suleimaniya). Es kam dabei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5.3</w:t>
      </w:r>
    </w:p>
    <w:p>
      <w:r>
        <w:t>Beim Beschwerdeführer handelt es sich gemäss den Akten um einen psychisch angeschlagenen Mann mit Berufserfahrung im (...) seiner Familie, der eigenen Angaben zufolge vor seiner Ausreise aus dem Irak in Bagdad wohnhaft war, wo er mit den Eltern, seinem Bruder und seiner Schwester über enge familiäre Anknüpfungspunkte verfügt. Bis 2003 soll er auch zwei Jahre (...) studiert haben, den Akten kann jedoch nicht entnommen werden, dass er auf diesem Gebiet je gearbeitet hätte. Das BFM stellte diese Angaben des Beschwerdeführers im Wesentlichen nicht in Frage und anerkannte implizit, dass ein Wegweisungsvollzug nach Bagdad (Zentralirak) nicht zur Diskussion steht. Entgegen der vom BFM vertretenen Auffassung kann aufgrund der Aktenlage jedoch nicht davon ausgegangen werden, der Beschwerdeführer verfüge im Nordirak ([C._______]) über ein derart enges Beziehungsnetz, das einen Wegweisungsvollzug dorthin erlauben würde. Aufgrund der zur Verfügung stehenden Informationen sind keine Hinweise ersichtlich, der Beschwerdeführer habe längere Zeit (oder überhaupt jemals) im Nordirak gelebt. Allein aufgrund des Umstands, dass dort ein Cousin seiner Mutter wohnt, zu dem er - gemäss seinen Angaben - keinen Kontakt pflegt, kann nicht geschlossen werden, er verfüge dort über ein soziales Netz oder Beziehungen zu den herrschenden Parteien. Andere Verwandte hat er in C._______ nicht. Entgegen den Angaben der Vorinstanz sprach der Beschwerdeführer stets nur von einer Person, die in C._______ lebt, und von anderen Verwandten, die in I._______ und Bagdad leben (vgl. A1/10, S. 3; A22/17, Antworten 17-22). Daher kann ihm nicht unterstellt werden, "er verfüge dort über mehrere Verwandte mütterlicherseits" (vgl. BFM-Verfügung, S. 5). Dass er offensichtlich keine nennenswerten Kontakte in C._______ hat, wird auch dadurch ersichtlich, dass er sich bei seiner Ausreise in die Türkei in C._______ nicht länger als eine Nacht aufgehalten und im Freien geschlafen habe (vgl. A22/17, Antwort 134). Ebenfalls zu beachten ist, dass es sich bei ihm nicht um einen ethnischen Kurden, sondern um einen sunnitischen Araber handelt, was ihm eine Integration in die kurdische Gesellschaft nicht erleichtern dürfte. Dies um so weniger als er gemäss Lingua Expertise die kurdische Sprache nur rudimentär beherrscht ("sa connaissance du kurde est fragile", vgl. A18/7, S. 5). Aufgrund der Akten kann daher nicht davon ausgegangen werden, der Beschwerdeführer könne sich im Nordirak eine tragfähige Existenzgrundlage erarbeiten. Daran vermag auch die Tatsache, dass er eine Identitätskarte mit dem Ausstellungsort C._______ hat, nichts zu ändern, zumal das Familienregister bereits früher von seinem Vater dorthin verlegt worden ist.</w:t>
      </w:r>
    </w:p>
    <w:p>
      <w:r>
        <w:rPr>
          <w:b/>
        </w:rPr>
        <w:t>E. 5.4</w:t>
      </w:r>
    </w:p>
    <w:p>
      <w:r>
        <w:t>Der Vollzug der Wegweisung in den Irak erweist sich bei einer gesamtheitlichen Würdigung somit als unzumutbar im Sinne von Art. 83 Abs. 4 AuG. Nachdem sich aus den Akten keine Hinweise auf das Vorliegen von Ausschlussgründen nach Art. 83 Abs. 7 AuG ergeben, sind die Voraussetzungen für die Anordnung der vorläufigen Aufnahme erfüllt.</w:t>
      </w:r>
    </w:p>
    <w:p>
      <w:r>
        <w:rPr>
          <w:b/>
        </w:rPr>
        <w:t>E. 6</w:t>
      </w:r>
    </w:p>
    <w:p>
      <w:r>
        <w:t>Aus diesen Erwägungen ergibt sich, dass die angefochtene Verfügung Bundesrecht verletzt. Die Beschwerde ist demnach gutzuheissen und die Ziffern 4 und 5 des Dispositivs der Verfügung des BFM vom 18. Januar 2010 sind aufzuheben. Das BFM ist anzuweisen, den Beschwerdeführer in der Schweiz vorläufig aufzunehmen.</w:t>
      </w:r>
    </w:p>
    <w:p>
      <w:r>
        <w:rPr>
          <w:b/>
        </w:rPr>
        <w:t>E. 7.1</w:t>
      </w:r>
    </w:p>
    <w:p>
      <w:r>
        <w:t>Bei diesem Ausgang des Verfahrens sind keine Verfahrenskosten aufzuerlegen (Art. 63 Abs. 1 und 2 VwVG).</w:t>
      </w:r>
    </w:p>
    <w:p>
      <w:r>
        <w:rPr>
          <w:b/>
        </w:rPr>
        <w:t>E. 7.2</w:t>
      </w:r>
    </w:p>
    <w:p>
      <w:r>
        <w:t>Dem Beschwerdeführer ist angesichts seines Obsiegens im Be­schwerdeverfahren in Anwendung von Art. 64 VwVG eine Parteientschädigung für ihm erwachsene notwendige Vertretungskosten zuzuspre­chen (vgl. Art. 7 Abs. 1 und 2 des Reglements vom 21. Februar 2008 über die Kosten und Entschädigungen vor dem Bundesverwaltungsgericht [VGKE, SR 173.320.2]).</w:t>
      </w:r>
    </w:p>
    <w:p>
      <w:r>
        <w:rPr>
          <w:b/>
        </w:rPr>
        <w:t>E. 7.3</w:t>
      </w:r>
    </w:p>
    <w:p>
      <w:r>
        <w:t>Von der Rechtsvertretung wurde keine Kostennote eingereicht. Auf das Nachfordern einer solchen kann verzichtet werden, da sich der notwendige Vertretungsaufwand aufgrund der Akten hinreichend zuverlässig abschätzen lässt (Art. 14 Abs. 2 VGKE). Unter Berücksichtigung der massgebenden Bemessungsfaktoren (Art. 9 - 13 VGKE) und der Entschädigungspraxis in Vergleichsfällen ist das BFM anzuweisen, dem Beschwerdeführer eine Parteientschädigung in der Höhe von insgesamt Fr. 800.-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