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E-939/2007 vom 30. Oktober 2007</w:t>
      </w:r>
    </w:p>
    <w:p>
      <w:r>
        <w:t>Bundesverwaltungsgericht, 2007-10-30, DE</w:t>
      </w:r>
    </w:p>
    <w:p>
      <w:r>
        <w:rPr>
          <w:b/>
        </w:rPr>
        <w:t xml:space="preserve">Quelle: </w:t>
      </w:r>
      <w:r>
        <w:t>https://mcp.opencaselaw.ch/entscheid/bvger_E-939_2007</w:t>
      </w:r>
    </w:p>
    <w:p>
      <w:r>
        <w:t>FR: TAF E-939/2007 du 30 octobre 2007</w:t>
      </w:r>
    </w:p>
    <w:p>
      <w:r>
        <w:t>IT: TAF E-939/2007 del 30 ottobre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Mit Beschwerde können die Verletzung von Bundesrecht, die unrichtige oder unvollständige Feststellung des rechtserheblichen Sachverhalts und die Unangemessenheit gerügt werden (Art. 106 Abs. 1 AsylG).</w:t>
      </w:r>
    </w:p>
    <w:p>
      <w:r>
        <w:rPr>
          <w:b/>
        </w:rPr>
        <w:t>E. 2.1</w:t>
      </w:r>
    </w:p>
    <w:p>
      <w:r>
        <w:t>Die vorliegend zu beurteilende Beschwerde richtet sich gegen eine Verfügung, laut deren Dispositiv das BFM auf das Asylgesuch des Beschwerdeführers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 AsylG), mit Beschwerde angefochten, so ist dementsprechend einzig zu beurteilen, ob die Vorinstanz zu Recht auf das Asylgesuch nicht eingetreten ist. Die Beurteilungskompetenz der Beschwerdeinstanz ist mit anderen Worten darauf beschränkt, im Fall der Begründetheit des Rechtsmittels die angefochtene Verfügung aufzuheben und die Sache zu neuer Entscheidung an die Vorinstanz zurückzuweisen (vgl. Entscheidungen und Mitteilungen der Schweizerischen Asylrekurskommision [EMARK] 2004 Nr. 34 E. 2.1 S. 240 f.). Mit der am 1. Januar 2007 in Kraft getretenen Modifikation der Nichteintretensbestimmung von Art. 32 Bst. a und Abs. 3 AsylG hat der Gesetzgeber indes ein Summarverfahren geschaffen, in welchem über das Bestehen beziehungsweise Nichtbestehen der Flüchtlingseigenschaft abschliessend materiell zu entscheiden ist, soweit dies im Rahmen einer summarischen Prüfung möglich ist (vgl. BVGE 2007/8, insbesondere E. 5.6.5). Dementsprechend ist im Beschwerdeverfahren auch die Flüchtlingseigenschaft Prozessgegenstand (vgl. BVGE a.a.O. E. 2.1). Nicht beschränkt ist die Beurteilungszuständigkeit des Bundesverwaltungsgerichts zudem in der Frage der Wegweisung und deren Vollzugs, weil das BFM sich diesbezüglich gemäss Art. 44 AsylG in Verbindung mit Art. 14a des Bundesgesetzes vom 26. März 1931 über Aufenthalt und Niederlassung der Ausländer (ANAG, SR 142.20) materiell zur Sache zu äussern hat.</w:t>
      </w:r>
    </w:p>
    <w:p>
      <w:r>
        <w:rPr>
          <w:b/>
        </w:rPr>
        <w:t>E. 2.2</w:t>
      </w:r>
    </w:p>
    <w:p>
      <w:r>
        <w:t>Der Beschwerdeführer hat am Verfahren vor dem Bundesamt teilgenommen, ist durch die angefochtene Verfügung besonders berührt und hat ein schutzwürdiges Interesse an deren Aufhebung beziehungsweise Änderung. Damit ist er zur Einreichung der Beschwerde legitimiert (Art. 6 AsylG i.V.m. Art. 48 Abs. 1 VwVG).</w:t>
      </w:r>
    </w:p>
    <w:p>
      <w:r>
        <w:rPr>
          <w:b/>
        </w:rPr>
        <w:t>E. 2.3</w:t>
      </w:r>
    </w:p>
    <w:p>
      <w:r>
        <w:t>Die Beschwerde wurde innert gesetzlicher Frist von 5 Arbeitstagen in gültiger Form eingereicht (Art. 108a AsylG sowie Art. 6 AsylG i.V.m. Art. 52 VwVG). Demzufolge ist auf das Rechtsmittel einzutreten.</w:t>
      </w:r>
    </w:p>
    <w:p>
      <w:r>
        <w:rPr>
          <w:b/>
        </w:rPr>
        <w:t>E. 3.1</w:t>
      </w:r>
    </w:p>
    <w:p>
      <w:r>
        <w:t>Der Begriff "Reise oder Identitätspapiere", wie er in der revidierten Bestimmung von Art. 32 Abs. 2 Bst. a AsylG verwendet wird, ist mit Rücksicht auf die Zielsetzung der auf den 1. Januar 2007 in Kraft getretenen Gesetzesänderung in einem engen Sinn zu verstehen. Es fallen darunter diejenigen Dokumente, welche sowohl eine zweifelsfreie Identifizierung als auch die Rückschaffung ohne (grossen) administrativen Aufwand ermöglichen. Diesen beiden Anforderungen genügen in der Praxis regelmässig Reisepässe und Identitätskarten. Allgemein sollen von der neuen Formulierung insbesondere jene Ausweise erfasst werden, die primär zum Zweck des Identitätsnachweises durch die heimatlichen Behörden ausgestellt worden sind, zumal nur dann die Überprüfung der Identität vor der zu erfolgenden Ausstellung sicher gestellt ist. Nach diesem - engen - Verständnis müssen demnach Identitätspapiere vorliegen,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Unter diesen Voraussetzungen können neben den klassischen Identitätskarten auch andere Ausweise taugliche Identitätspapiere darstellen, wie zum Beispiel ein Inlandpass. Andere Ausweise, die zwar Hinweise auf die Identität geben, jedoch in erster Linie einem anderen Zweck dienen, stellen dagegen keine Identitätspapiere im Sinne von Art. 32 Abs. 2 Bst. a AsylG dar. Schliesslich ist hinsichtlich der Qualität der Dokumente zu fordern, dass sie nur schwer zu fälschen sind (vgl. zum Ganzen BVGE 2007/7 E. 4-6).</w:t>
      </w:r>
    </w:p>
    <w:p>
      <w:r>
        <w:rPr>
          <w:b/>
        </w:rPr>
        <w:t>E. 3.2</w:t>
      </w:r>
    </w:p>
    <w:p>
      <w:r>
        <w:t>Der unveränderte Begriff der "entschuldbaren Gründe" im Sinne von Art. 32 Abs. 3 Bst. a AsylG ist im Sinne der Praxis zum bisherigen Recht zu verstehen (vgl. BVGE 2007/8 E. 3.2, EMARK 1999 Nr. 16 E. 5c.aa S. 109 f.).</w:t>
      </w:r>
    </w:p>
    <w:p>
      <w:r>
        <w:rPr>
          <w:b/>
        </w:rPr>
        <w:t>E. 3.3</w:t>
      </w:r>
    </w:p>
    <w:p>
      <w:r>
        <w:t>Mit der Neuformulierung des Nichteintretensgrundes der Papierlosigkeit wurde nicht nur in Bezug auf die Qualität der abzugebenden Identitätspapiere, sondern auch hinsichtlich der Beweismassanforderungen und des zulässigen Prüfungsumfangs eine Verschärfung beabsichtigt. Der Gesetzgeber hat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 Grund einer summarischen Prüfung festgestellt werden kann, dass die asylsuchende Person die Flüchtlingseigenschaft im Sinne der Definition von Art. 3 AsylG offensichtlich erfüllt (Art. 32 Abs. 3 Bst. b AsylG). Demgegenüber ist auf das Asylgesuch nicht einzutreten, wenn bereits aufgrund einer ebenso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asylrechtlichen Relevanz ergeben.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(vgl. zum Ganzen BVGE 2007/8 E. 3-5).</w:t>
      </w:r>
    </w:p>
    <w:p>
      <w:r>
        <w:rPr>
          <w:b/>
        </w:rPr>
        <w:t>E. 4.1</w:t>
      </w:r>
    </w:p>
    <w:p>
      <w:r>
        <w:t>In casu hat der Beschwerdeführer unbestrittenermassen innerhalb von 48 Stunden und auch später kein Reise- oder Identitätspapier zu den Akten gereicht. Eine zweifelsfreie Identifikation seiner Person lässt sich somit vorliegend nicht vornehmen. Entschuldbare Gründe für das Nichteinreichen eines Reise- oder Identitätspapiers innerhalb von 48 Stunden seit der Gesuchseinreichung sind nicht gegeben. Die Angaben des Beschwerdeführers, wonach er nie einen Reisepass besessen und aufgrund seiner beruflichen Tätigkeit fürs Militär keine Erlaubnis gehabt habe, einen solchen zu beantragen, sind wenig plausibel. Auch kann nicht geglaubt werden, dass der Beschwerdeführer, wie er selber geltend macht, zwar eine Identitätskarte besessen, diese jedoch zu Hause gelassen habe, weil er nicht geglaubt habe, dass diese wichtig sei, wenn er ins Ausland reise (vgl. Empfangsstellenprotokoll A1/13, S. 4). Der Beschwerdeführer kann keine überzeugenden Ausführungen dazu machen, wie er ohne Identitätspapiere die Reise von Algerien in die Schweiz zurücklegen konnte, ohne von Grenzkontrollen aufgegriffen worden zu sein. Seine diesbezügliche Erklärung, die Schlepper wüssten genau, welche Wege sie nehmen müssten und hätten ausserdem Beziehungen (vgl. a.a.O., S. 9), vermag nicht zu überzeugen. Auf Beschwerdeebene macht der Beschwerdeführer sodann geltend, er habe seine Heimat in Eile verlassen und sei deshalb ohne Papiere ausgereist. Auch sein Vorbringen in der Beschwerde, wonach seine Eltern versucht hätten für ihn Papiere zu beschaffen, was ihnen jedoch nicht gelungen sei, vermag nicht zu überzeugen. Somit liegen in casu keine entschuldbaren Gründe vor, die es dem Beschwerdeführer verunmöglichen, ein rechtsgenügliches Reise- oder Identitätspapier einzureichen.</w:t>
      </w:r>
    </w:p>
    <w:p>
      <w:r>
        <w:rPr>
          <w:b/>
        </w:rPr>
        <w:t>E. 4.2</w:t>
      </w:r>
    </w:p>
    <w:p>
      <w:r>
        <w:t>Aus den Akten ist ferner zu schliessen, dass der Beschwerdeführer einerseits die Flüchtlingseigenschaft gemäss Art. 3 und 7 AsylG offensichtlich nicht erfüllt und sich aufgrund der Anhörung ergibt, dass zusätzliche Abklärungen zur Feststellung der Flüchtlingseigenschaft oder des Wegweisungsvollzugs nicht nötig sind. Mit Bezug auf die unterbliebene Abgabe von Identitätspapieren und seine Asylgründe hat der Beschwerdeführer völlig unsubstanziierte, widersprüchliche und somit unglaubhafte Angaben gemacht. Für die zahlreichen Widersprüche, die sich aus seinen Schilderungen ergeben, kann vorab auf die Akten und die vorinstanzlichen Erwägungen verwiesen werden. Auch das Bundesverwaltungsgericht ist der Auffassung, dass die Asylvorbringen des Beschwerdeführers vage und unsubstanziiert ausgefallen sind, kaum Realitätskennzeichen enthalten und insgesamt nicht den Eindruck von tatsächlich Erlebtem oder Befürchtetem zu erwecken vermögen. So ist der Beschwerdeführer nicht imstande, den Grund, weshalb sich die Militärbehörden für ihn interessiert haben sollen, in nachvollziehbarer Weise darzulegen. Bei der Empfangsstellenbefragung macht er diesbezüglich geltend, die Militärbehörden hätten befürchtet, dass er militärische Geheimnisse nach aussen tragen und bekannt machen würde. Deshalb sei er vom Militär überwacht und unter Druck gesetzt worden. Dieses Vorbringen ist aber schon deshalb nicht nachvollziehbar, weil der Beschwerdeführer eigenen Angaben zufolge als G._______ für die Militärbehörde gearbeitet und somit in dieser Funktion gar keinen Zugang zu geheimen Informationen des Militärs gehabt hat. Bezeichnenderweise begründet er sodann anlässlich der kantonalen Anhörung die Überwachung seiner Person durch das Militär nicht mehr mit seinen angeblichen Kenntnissen von geheimen Informationen, sondern macht vielmehr in erster Linie seinen Kontakt zu einem ehemaligen Terroristen für die Überwachung verantwortlich. In der Beschwerdeschrift, die sich nicht mit den vorinstanzlichen Erwägungen auseinandersetzt, wird überdies ebenfalls nichts vorgebracht, was zur Begründung der Flüchtlingseigenschaft geeignet wäre. Bei dieser Sachlage erübrigten sich zusätzliche Abklärungen zur Feststellung der Flüchtlingseigenschaft oder eines Wegweisungsvollzugshindernisses im Sinne von Art. 32 Abs. 3 Bst. c AsylG.</w:t>
      </w:r>
    </w:p>
    <w:p>
      <w:r>
        <w:rPr>
          <w:b/>
        </w:rPr>
        <w:t>E. 4.3</w:t>
      </w:r>
    </w:p>
    <w:p>
      <w:r>
        <w:t>Zusammenfassend ist festzuhalten, dass im vorliegenden Fall die Voraussetzungen für ein Nichteintreten auf das Asylgesuch in Anwendung von Art. 32 Abs. 2 Bst. a und Abs. 3 AsylG gegeben waren. Das BFM ist demnach zu Recht auf das Asylgesuch des Beschwerdeführers nicht eingetreten.</w:t>
      </w:r>
    </w:p>
    <w:p>
      <w:r>
        <w:rPr>
          <w:b/>
        </w:rPr>
        <w:t>E. 5.1</w:t>
      </w:r>
    </w:p>
    <w:p>
      <w:r>
        <w:t>Lehnt das Bundesamt ein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ANAG).</w:t>
      </w:r>
    </w:p>
    <w:p>
      <w:r>
        <w:rPr>
          <w:b/>
        </w:rPr>
        <w:t>E. 5.2</w:t>
      </w:r>
    </w:p>
    <w:p>
      <w:r>
        <w:t>Vorliegend hat der Kanton keine Aufenthaltsbewilligung erteilt (Art. 32 Bst. a der Asylverordnung 1 vom 11. August 1999 über Verfahrensfragen [AsylV 1, SR 142.311]). Der Beschwerdeführer kann sich auch nicht auf einen dahingehenden Anspruch berufen (vgl. EMARK 2001 Nr. 21). Seine Wegweisung aus der Schweiz steht somit im Einklang mit den gesetzlichen Bestimmungen.</w:t>
      </w:r>
    </w:p>
    <w:p>
      <w:r>
        <w:rPr>
          <w:b/>
        </w:rPr>
        <w:t>E. 5.3</w:t>
      </w:r>
    </w:p>
    <w:p>
      <w:r>
        <w:t>Es bleibt zu prüfen, ob es Gründe gibt, die dem Vollzug der Wegweisung entgegenstehen, da im Fall eines unzulässigen, unzumutbaren oder unmöglichen Vollzugs das Anwesenheitsverhältnis nach den Bestimmungen über die vorläufige Aufnahme nach ANAG zu regeln ist (Art. 44 Abs. 2 AsylG).</w:t>
      </w:r>
    </w:p>
    <w:p>
      <w:r>
        <w:rPr>
          <w:b/>
        </w:rPr>
        <w:t>E. 5.4</w:t>
      </w:r>
    </w:p>
    <w:p>
      <w:r>
        <w:t>Der Vollzug der Wegweisung des Beschwerdeführers ins Heimatland ist unter Berücksichtigung der völkerrechtlichen Verpflichtungen der Schweiz (Art. 3 der Konvention vom 4. November 1950 zum Schutze der Menschenrechte und Grundfreiheiten [Europäische Menschenrechtskonvention, EMRK, SR 0.101], Art. 33 Abs. 1 des Abkommens vom 28. Juli 1951 über die Rechtstellung der Flüchtlinge [Flüchtlingskonvention, FK, SR 0.142.30]) und der Bestimmungen von Art. 5 Abs. 1 AsylG sowie Art. 25 Abs. 2 und 3 der Bundesverfassung der Schweizerischen Eidgenossenschaft vom 18. April 1999 (BV, SR 101) zulässig im Sinne von Art. 14a Abs. 3 ANAG, weil offensichtlich keine Menschenrechtsverletzungen drohen und ebenso offensichtlich die Flüchtlingseigenschaft nicht besteht. Alleine aus der allgemeinen Menschenrechtssituation in Algerien lässt sich sodann ebenfalls kein reales Risiko von Folter oder unmenschlicher oder erniedrigender Strafe oder Behandlung herleiten.</w:t>
      </w:r>
    </w:p>
    <w:p>
      <w:r>
        <w:rPr>
          <w:b/>
        </w:rPr>
        <w:t>E. 5.5</w:t>
      </w:r>
    </w:p>
    <w:p>
      <w:r>
        <w:t>Unter Berücksichtigung der allgemeinen Sicherheitslage in Algerien sind ferner keine Anhaltspunkte dafür ersichtlich, dass der Beschwerdeführer bei einer Rückkehr in sein Herkunftsland einer konkreten Gefährdung im Sinne von Ar. 14a Abs. 4 ANAG ausgesetzt wäre. Angesichts der dort aktuell herrschenden Situation kann ein Wegweisungsvollzug nach Algerien als generell zumutbar erachtet werden. Ferner sind auch keine individuellen Gründe ersichtlich, die die Rückkehr des Beschwerdeführers nach Algerien als unzumutbar erscheinen lassen würden. In den Akten deutet nichts darauf hin, dass er aus individuellen Gründen wirtschaftlicher, sozialer oder gesundheitlicher Natur in eine existenzbedrohende Situation geraten würde. So ist der Beschwerdeführer gemäss Akten offenbar gesund und verfügt über eine überdurchschnittlich gute Schulbildung und eine Ausbildung als diplomierter F._______. Auch hat er gute Sprachkenntnisse - namentlich Englisch und Französisch - und konnte mehrere Jahre Berufserfahrung als G._______ sammeln. Ausserdem leben die Eltern des Beschwerdeführers, zwei seiner Schwestern und vier Brüder in seiner Heimat. Somit hat der Beschwerdeführer ein Beziehungsnetz, an das er sich nach seiner Rückkehr im Bedarfsfall wenden kann. Nach dem Gesagten ist der angeordnete Wegweisungsvollzug auch als zumutbar zu bezeichnen.</w:t>
      </w:r>
    </w:p>
    <w:p>
      <w:r>
        <w:rPr>
          <w:b/>
        </w:rPr>
        <w:t>E. 5.6</w:t>
      </w:r>
    </w:p>
    <w:p>
      <w:r>
        <w:t>Schliesslich obliegt es dem Beschwerdeführer, sich bei der zuständigen Vertretung des Heimatstaates die für eine Rückkehr notwendigen Reisedokumente zu beschaffen (Ar. 8 Abs. 4 AsylG), so dass sich der Vollzug der Wegweisung auch als möglich erweist (Art. 14a Abs. 4 ANAG).</w:t>
      </w:r>
    </w:p>
    <w:p>
      <w:r>
        <w:rPr>
          <w:b/>
        </w:rPr>
        <w:t>E. 5.7</w:t>
      </w:r>
    </w:p>
    <w:p>
      <w:r>
        <w:t>Insgesamt ist der durch das BFM verfügte Vollzug der Wegweisung zu bestätigen. Das BFM hat den Vollzug zu Recht als zulässig, zumutbar und möglich erachtet. Nach dem Gesagten fällt eine Anordnung der vorläufigen Aufnahme ausser Betracht (Art. 14a Abs. 1-4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und auf insgesamt Fr. 600.-- festzusetzen (Art. 16 Abs. 1 Bst. a VGG i.V.m. Art. 2 und 3 des Reglements über die Kosten und Entschädigungen vor dem Bundesverwaltungsgericht vom 11. Dezember 2006 [VGKE]). Da die Beschwerde im Zeitpunkt ihrer Einreichung nicht als klar aussichtslos bezeichnet werden konnte und aufgrund der Akten von der Bedürftigkeit des Beschwerdeführers auszugehen ist, ist in Gutheissung des Gesuchs um Gewährung der unentgeltlichen Rechtspflege im Sinne von Art. 65 Abs. 1 VwVG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