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E-936/2015 vom 21. April 2015</w:t>
      </w:r>
    </w:p>
    <w:p>
      <w:r>
        <w:t>Bundesverwaltungsgericht, 2015-04-21, DE</w:t>
      </w:r>
    </w:p>
    <w:p>
      <w:r>
        <w:rPr>
          <w:b/>
        </w:rPr>
        <w:t xml:space="preserve">Quelle: </w:t>
      </w:r>
      <w:r>
        <w:t>https://mcp.opencaselaw.ch/entscheid/bvger_E-936_2015</w:t>
      </w:r>
    </w:p>
    <w:p>
      <w:r>
        <w:t>FR: TAF E-936/2015 du 21 avril 2015</w:t>
      </w:r>
    </w:p>
    <w:p>
      <w:r>
        <w:t>IT: TAF E-936/2015 del 21 aprile 2015</w:t>
      </w:r>
    </w:p>
    <w:p>
      <w:pPr>
        <w:pStyle w:val="Heading2"/>
      </w:pPr>
      <w:r>
        <w:t>Regeste</w:t>
      </w:r>
    </w:p>
    <w:p>
      <w:r>
        <w:t>Nichteintreten auf Asylgesuch und Wegweisung (Dublin-Verfahren)</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Vorab ist zu prüfen, ob der rechtserhebliche Sachverhalt genügend festgestellt wurde, da ein Verfahrensmangel allenfalls geeignet wäre, eine Kassation des vorinstanzlichen Entscheides zu bewirken (vgl. Kölz/ Häner/Bertschi, Verwaltungsverfahren und Verwaltungsrechtspflege des Bundes, 3. Aufl. 2013, Rz. 1156 m.w.H.).</w:t>
      </w:r>
    </w:p>
    <w:p>
      <w:r>
        <w:rPr>
          <w:b/>
        </w:rPr>
        <w:t>E. 3.2</w:t>
      </w:r>
    </w:p>
    <w:p>
      <w:r>
        <w:t>Der Untersuchungsgrundsatz gehört zu den allgemeinen Grundsätzen des Verwaltungs- bzw.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w:t>
      </w:r>
    </w:p>
    <w:p>
      <w:r>
        <w:rPr>
          <w:b/>
        </w:rPr>
        <w:t>E. 3.3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4.1</w:t>
      </w:r>
    </w:p>
    <w:p>
      <w:r>
        <w:t>Das SEM stellte sich in seiner Vernehmlassung vom 25. Februar 2015 auf den Standpunkt, dass die italienischen Behörden in genereller Weise schriftlich bestätigt hätten, dass alle Familien mit minderjährigen Kindern in einer kindergerechten Aufnahmestruktur zu unterbringen seien und dass die Familieneinheit gewahrt werde. Italien sei es nicht möglich, bereits im Zeitpunkt der Zustimmung zur Übernahme eine individuelle Garantie für eine Unterkunft zu geben, da die Aufnahmeverhältnisse und die verfügbaren Plätze nicht Monate im Voraus festgelegt werden könnten. Das SEM werde indes vor der konkreten Überstellung nach Italien eine individuelle Garantie für die beschwerdeführende Familie einholen, um eine altersgerechte Aufnahme der Kinder sowie die Wahrung der Einheit der Familie sicherzustellen. Die Beschwerdeführenden hätten in Italien bisher noch kein Asylverfahren durchlaufen und könnten daher nicht konkret darlegen, inwiefern eine Rückkehr nach Italien tatsächlich eine Verletzung ihrer Grundrechte zur Folge hätte.</w:t>
      </w:r>
    </w:p>
    <w:p>
      <w:r>
        <w:rPr>
          <w:b/>
        </w:rPr>
        <w:t>E. 4.2</w:t>
      </w:r>
    </w:p>
    <w:p>
      <w:r>
        <w:t>Der Gerichtshof stellte in seinem Urteil Tarakhel fest, dass asylsuchende Personen als eine besonders benachteiligte und verletzliche Gruppe einen speziellen Schutz benötigen würden. Dieser sei umso wichtiger, wenn es sich dabei - angesichts ihrer speziellen Bedürfnisse und ihrer Verletzlichkeit - um Kinder handle (vgl. Urteil des EGMR Tarakhel gegen Schweiz, a.a.O., § 118 f.). Angesichts der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des EGMR Tarakhel gegen Schweiz, a.a.O., § 115 und 120). Daraus folge, dass Art. 3 EMRK verletzt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(vgl. Urteil des EGMR Tarakhel gegen Schweiz, a.a.O., § 122).</w:t>
      </w:r>
    </w:p>
    <w:p>
      <w:r>
        <w:rPr>
          <w:b/>
        </w:rPr>
        <w:t>E. 4.3</w:t>
      </w:r>
    </w:p>
    <w:p>
      <w:r>
        <w:t>Angesichts dieser Erwägungen vermag es nicht zu überzeugen, wenn die Vorinstanz daran festhält, dass die notwendigen Garantien erst im Rahmen der Überstellungsmodalitäten einzuholen seien. Wie das Bundesverwaltungsgericht in einem kürzlich gefällten Grundsatzurteil festgestellt hat, ist das Vorliegen der von den italienischen Behörden einzuholenden Garantien einer kindgerechten und die Einheit der Familie respektierenden Unterkunft keine blosse Überstellungsmodalität, sondern stellt gemäss dem Urteil Tarakhel des EGMR eine materielle Voraussetzung der völkerrechtlichen Zulässigkeit einer Überstellung nach Italien dar. Als solche muss sie einer gerichtlichen Überprüfung offenstehen. Da eine gerichtliche Überprüfung von Vollzugsmodalitäten nach Vorliegen eines rechtskräftigen Überstellungsentscheides nicht mehr vorgesehen ist, muss die Überprüfungsmöglichkeit eines solchen Entscheides für eine Familie, welche nach Italien überstellt werden soll, im ordentlichen Beschwerdeverfahren bestehen, und es müssen demnach bezüglich Italien die im Sinne des erwähnten Urteils des EGMR erforderlichen konkreten individuellen Garantien im ordentlichen Verfahren - und nicht erst im Vollzugsstadium - vorliegen. Blosse generelle Absichtserklärungen seitens Italien können nicht ausreichen, um eine allfällige Verletzung von Art. 3 EMRK ausschliessen zu können. Entsprechend den Voraussetzungen, wie sie im Urteil Tarakhel des EGMR genannt sind, muss im Zeitpunkt der vorinstanzlichen Verfügung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Urteil des Bundesverwaltungsgerichts vom 12. März 2015 E-6629/2014 E. 4.3 [zur Publikation vorgesehen]).</w:t>
      </w:r>
    </w:p>
    <w:p>
      <w:r>
        <w:rPr>
          <w:b/>
        </w:rPr>
        <w:t>E. 4.4</w:t>
      </w:r>
    </w:p>
    <w:p>
      <w:r>
        <w:t>Im Fall der Beschwerdeführenden lassen sich keine solche individuellen Garantien in den Akten finden und sind auch im Rahmen des Vernehmlassungsverfahrens nicht eingeholt und dem Bundesverwaltungsgericht vorgelegt worden. Der entscheidrelevante Sachverhalt ist im Hinblick auf die Frage, ob eine Überstellung nach Italien völkerrechtskonform im Sinne von Art. 3 EMRK sei, demnach nicht rechtsgenüglich erstellt. Es erweist sich als angezeigt, die Sache zwecks Vornahme der erforderlichen Abklärungen an die Vorinstanz zurückzuweisen.</w:t>
      </w:r>
    </w:p>
    <w:p>
      <w:r>
        <w:rPr>
          <w:b/>
        </w:rPr>
        <w:t>E. 4.5</w:t>
      </w:r>
    </w:p>
    <w:p>
      <w:r>
        <w:t>Demnach ist die Beschwerde gutzuheissen. Die angefochtene Verfügung vom 30. Januar 2015 ist aufzuheben und die Sache in Anwendung von Art. 61 Abs. 1 VwVG zur vollständigen und richtigen Sachverhaltsermittlung und Neubeurteilung im Sinne der Erwägungen an die Vorinstanz zurückzuweisen. Auf die weiteren Vorbringen in der Rechtsmitteleingabe ist aufgrund der vorliegenden Kassation zum heutigen Zeitpunkt nicht näher einzugehen. Nur hinsichtlich der Rüge, die Befragung vom 16. September 2014 hätte im Rahmen einer gleichgeschlechtlichen Runde stattfinden sollen, ist festzuhalten, dass ein diesbezüglicher Vorschlag während der Befragung von der Beschwerdeführerin abgelehnt wurde (A4 S. 7). Demzufolge kann dies der Vorinstanz nicht angelastet werden.</w:t>
      </w:r>
    </w:p>
    <w:p>
      <w:r>
        <w:rPr>
          <w:b/>
        </w:rPr>
        <w:t>E. 5.1</w:t>
      </w:r>
    </w:p>
    <w:p>
      <w:r>
        <w:t>Bei diesem Ausgang des Verfahrens sind keine Kosten zu erheben (Art. 63 Abs. 1 und 2 VwVG).</w:t>
      </w:r>
    </w:p>
    <w:p>
      <w:r>
        <w:rPr>
          <w:b/>
        </w:rPr>
        <w:t>E. 5.2</w:t>
      </w:r>
    </w:p>
    <w:p>
      <w:r>
        <w:t>Den vertretenen Beschwerdeführenden ist angesichts ihres Obsiegens in Anwendung von Art. 64 VwVG und Art. 7 Abs. 1 VGKE (SR 173.320.2) eine Entschädigung für die ihnen notwendigerweise erwachsenen Parteikosten zuzusprechen. In der eingereichten Kostennote vom 18. März 2015 machte der Rechtsvertreter einen Arbeitsaufwand von 8 Stunden (à Fr. 200.-) geltend. Der in der Kostennote ausgewiesene zeitliche Vertretungsaufwand erscheint vorliegend nicht als vollumfänglich angemessen respektive notwendig im Sinne von Art. 64 Abs. 1 VwVG. Unter Berücksichtigung der massgebenden Bemessungsfaktoren (Art. 9-13 VGKE) und der Entschädigungspraxis in Vergleichsfällen ist der zeitliche Vertretungsaufwand für das Beschwerdeverfahren auf insgesamt 6.5 Stunden festzusetzen. Dem Beschwerdeführer ist somit eine Parteientschädigung im Betrag von Fr. 1'315.- (inkl. Auslagen, ohne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