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E-935/2017 vom 6. März 2017</w:t>
      </w:r>
    </w:p>
    <w:p>
      <w:r>
        <w:t>Bundesverwaltungsgericht, 2017-03-06, DE</w:t>
      </w:r>
    </w:p>
    <w:p>
      <w:r>
        <w:rPr>
          <w:b/>
        </w:rPr>
        <w:t xml:space="preserve">Quelle: </w:t>
      </w:r>
      <w:r>
        <w:t>https://mcp.opencaselaw.ch/entscheid/bvger_E-935_2017</w:t>
      </w:r>
    </w:p>
    <w:p>
      <w:r>
        <w:t>FR: TAF E-935/2017 du 6 mars 2017</w:t>
      </w:r>
    </w:p>
    <w:p>
      <w:r>
        <w:t>IT: TAF E-935/2017 del 6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Gestützt auf Art. 111a Abs. 1 AsylG wurde vorliegend auf die Durchführung eines Schriftenwechsels verzichtet.</w:t>
      </w:r>
    </w:p>
    <w:p>
      <w:r>
        <w:rPr>
          <w:b/>
        </w:rPr>
        <w:t>E. 3</w:t>
      </w:r>
    </w:p>
    <w:p>
      <w:r>
        <w:t>Der Beschwerdeführer rügt, die Vorinstanz habe den Sachverhalt ungenügend abgeklärt.</w:t>
      </w:r>
    </w:p>
    <w:p>
      <w:r>
        <w:rPr>
          <w:b/>
        </w:rPr>
        <w:t>E. 3.1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Von dieser Abklärungspflicht zu unterscheiden ist die Würdigung der Beweismittel, welche sich nach Art. 7 AsylG richtet.</w:t>
      </w:r>
    </w:p>
    <w:p>
      <w:r>
        <w:rPr>
          <w:b/>
        </w:rPr>
        <w:t>E. 3.2</w:t>
      </w:r>
    </w:p>
    <w:p>
      <w:r>
        <w:t>In Bezug auf die Schutzfähigkeit der Institutionen der Autonomen Republik Kurdistan (ARK) und die Zumutbarkeit des Wegweisungsvollzugs in die vier Provinzen der ARK verfolgt die Vorinstanz eine seit Jahren gefestigte Praxis. Diese Praxis wurde vom Bundesverwaltungsgericht in verschiedenen - auch neueren - Urteilen gestützt (vgl. zur Schutzfähigkeit der Sicherheits- und Justizbehörden der ARK das jüngst ergangene Urteil des BVGer E-7281/2016 vom 19. Dezember 2016 E. 6.4.4, m.w.H.; vgl. zum Wegweisungsvollzug in die ARK Referenzurteil des BVGer E-3737/2015 vom 14. Dezember 2015 E. 7). Im eben erwähnten Referenzurteil kam das Bundesverwaltungsgericht zum Schluss, dass in den vier Provinzen der ARK (das Gebiet wird seit Anfang 2015 durch die Provinzen Dohuk, Erbil, Suleimaniya sowie Halabja gebildet) nach wie vor nicht von einer Situation allgemeiner Gewalt im Sinne von Art. 83 Abs. 4 AuG auszugehen sei und keine konkreten Anhaltspunkte für die Annahme vorliegen, dies werde sich in absehbarer Zeit massgeblich verändern (a.a.O., E. ). An dieser Sichtweise hält das Bundesverwaltungsgericht weiterhin fest (vgl. Urteile des BVGer E-6267/2016 vom 2. November 2016, D-3405/2016 vom 14. September 2016, E-3354/2016 vom 23. Juni 2016 und D-6975/2015 vom 16. Juni 2016, E-7360/2016 vom 9. Februar 2017). Der Vorinstanz kann im Hinblick auf den Untersuchungsgrundsatz nicht zum Vorwurf gemacht werden, ihrem Entscheid die nach wie vor gültige Rechtsprechung zugrunde gelegt zu haben.</w:t>
      </w:r>
    </w:p>
    <w:p>
      <w:r>
        <w:rPr>
          <w:b/>
        </w:rPr>
        <w:t>E. 3.3</w:t>
      </w:r>
    </w:p>
    <w:p>
      <w:r>
        <w:t>Eine Verletzung des Untersuchungsgrundsatzes (Art. 6 AsylG i.V.m. Art. 12 VwVG) liegt nicht vor. Vor diesem Hintergrund besteht kein Anlass, die Sache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4.3</w:t>
      </w:r>
    </w:p>
    <w:p>
      <w:r>
        <w:t>Die Vorinstanz begründet ihre Verfügung im Asylpunkt mit der fehlenden Asylrelevanz der Vorbringen des Beschwerdeführers. Soweit der Beschwerdeführer in den Befragungen geltend mache, er habe den Irak aufgrund der allgemeinen unsicheren Lage verlassen und es sei wegen des Krieges nicht möglich gewesen, dort ein gutes Leben zu führen, handle es sich um eine allgemeine Bedrohungslage im Zusammenhang mit dem irakischen Bürgerkrieg. Gemäss schweizerischer Asylpraxis sei darin keine asylbeachtliche Verfolgung im Sinne von Art. 3 AsylG zu erblicken. Dasselbe gelte auch für den Angriff des IS auf seinen früheren Wohnort D._______, weil es sich dabei nicht um ein gezieltes Vorgehen gegen ihn handle.Bei der Verfolgung durch die Angehörigen des getöteten Kindes handle es sich um eine Verfolgung durch Private, die nach konstanter Rechtsprechung nur asylrelevant sein könne, wenn der Heimatstaat seinen Schutzverpflichtungen nicht nachkommen könne oder wolle. Hinsichtlich der ARK sei festzustellen, dass dort dank der gut dotierten Sicherheitsbehörden und des Rechts- und Justizsystems eine funktionierende Schutzinfrastruktur bestehe. Personen, die wegen Blutrache oder familiärer Probleme von Dritten verfolgt oder bedroht würden, könnten auf den staatlichen Schutz zählen, ausser es lägen begründete Hinweise dafür vor, dass es am Schutzwillen mangle. Solche Hinweise lägen hier nicht vor. Zudem habe sich der Beschwerdeführer bis zu seiner Ausreise noch gar nicht an die zuständigen Sicherheitsbehörden gewandt.</w:t>
      </w:r>
    </w:p>
    <w:p>
      <w:r>
        <w:rPr>
          <w:b/>
        </w:rPr>
        <w:t>E. 4.4</w:t>
      </w:r>
    </w:p>
    <w:p>
      <w:r>
        <w:t>Der Beschwerdeführer stellt die vorinstanzlichen Ausführungen zur fehlenden Asylrelevanz der allgemeinen Sicherheitslage im Irak auf Beschwerdeebene nicht in Frage. Hingegen ist er der Auffassung, dass entgegen der Vorinstanz nicht vom Bestehen einer ausreichenden Schutzinfrastruktur in der ARK die Rede sein könne.</w:t>
      </w:r>
    </w:p>
    <w:p>
      <w:r>
        <w:rPr>
          <w:b/>
        </w:rPr>
        <w:t>E. 4.5</w:t>
      </w:r>
    </w:p>
    <w:p>
      <w:r>
        <w:t>Gemäss ständiger Lehre und Rechtsprechung ist eine private Verfolgung nur dann asylrelevant, wenn ein Staat nicht in der Lage oder nicht willens ist, die betroffene Person zu schützen (Caroni/Meyer-Grasdorf/Ott/Scheiber, Migrationsrecht, 3. Aufl. 2014, S. 249 f.). Vorliegend steht eine solche private Verfolgung in Frage, wobei die Vorinstanz die Frage offen gelassen hat, ob die vom Beschwerdeführer geschilderten Vorkommnisse überhaupt eine genügende Intensität aufweisen, um als Verfolgung im Sinne von Art. 3 AsylG gelten zu können. Unabhängig von der Intensität der Verfolgung sei nämlich sowohl von der Schutzfähigkeit als auch vom Schutzwillen der Institutionen der ARK auszugehen.Das Gericht teilt die Einschätzung der Vorinstanz im Hinblick auf Schutzfähigkeit und Schutzwillen der weitgehend autonomen Institutionen der ARK und hat diese Auffassung schon in zahlreichen Urteilen zu erkennen gegeben (vgl. zuletzt BVGer E-7281/2016 vom 19. Dezember 2016 E. 6.4.4, m.w.H.). Der Beschwerdeführer bringt im vorliegenden Verfahren nichts vor, was eine abweichende Einschätzung rechtfertigen könnte. Teilweise sind die weitestgehend unbelegten Behauptungen des Beschwerdeführers überdies offensichtlich unrichtig, so etwa wenn behauptet wird, die ARK sei vom IS "umgeben" (vgl. die Übersichtskarte No. 30 von "The Kurdish Front" [Oktober 2016], abrufbar unter https://thekurdishfront.files.wordpress.com/2016/10/thekurdishfront30.pdf , zuletzt abgerufen am 21. Februar 2017) oder der Staat in der ARK sei "praktisch inexistent" (vgl. Hadji, The Case for Kurdish Statehood in Iraq, Case Western Reserve Journal of International Law 2015, S. 513 ff., abrufbar unter &lt;http://scholarlycommons.law.case.edu/cgi/viewcontent.cgi?article=1269&amp;context=jil&gt;, zuletzt abgerufen am 21. Februar 2017).Im Übrigen ist das Gericht auch nicht überzeugt davon, dass der einmalige - relativ unsubstanziiert geschilderte - Entführungsversuch und die zwei Drohanrufe eine genügende Intensität aufweisen, um als asylbeachtlich eingestuft zu werden. Der Beschwerdeführer konnte sich der Behelligungen schon dadurch entziehen, dass er seine SIM-Karte zerstörte (vgl. Akten des Asylverfahrens, A14/19, F 121, F 171) und die Bedrohung erreichte offenbar nicht ein Ausmass, das ihn veranlasst hätte, die Sicherheitsbehörden zu verständigen (vgl. Akten des Asylverfahrens, A14/19, F 129-130). Die Frage kann jedoch letztlich offengelassen werden, da auch im Falle einer unter das Asylgesetz fallenden privaten Verfolgung von der Schutzfähigkeit und Schutzwilligkeit der Sicherheitsbehörden der ARK auszugehen wäre.</w:t>
      </w:r>
    </w:p>
    <w:p>
      <w:r>
        <w:rPr>
          <w:b/>
        </w:rPr>
        <w:t>E. 4.6</w:t>
      </w:r>
    </w:p>
    <w:p>
      <w:r>
        <w:t>Insgesamt teilt das Gericht die Einschätzung der Vorinstanz im Asylpunkt. Die Vorinstanz hat die Flüchtlingseigenschaft des Beschwerdeführers zu Recht verneint und folglich auch sein Asylgesuch abgewiesen.</w:t>
      </w:r>
    </w:p>
    <w:p>
      <w:r>
        <w:rPr>
          <w:b/>
        </w:rPr>
        <w:t>E. 5</w:t>
      </w:r>
    </w:p>
    <w:p>
      <w:r>
        <w:t>Lehnt das SEM das Asylgesuch ab oder tritt es darauf nicht ein,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(dazu auch oben, E. 7).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Irak lässt den Wegweisungsvollzug zum heutigen Zeitpunkt nicht als unzulässig erscheinen (in diesem Sinne auch Urteil des BGer. 2C_791/2016 vom 26. September 2016, E. 3.6 [vgl. auch die dortige Lageanalyse]).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Der Beschwerdeführer ist irakischer Staatsangehöriger und lebte zuletzt in B._______ in der Provinz Suleimaniya, was vom Bundesverwaltungsgericht nicht angezweifelt wird.</w:t>
      </w:r>
    </w:p>
    <w:p>
      <w:r>
        <w:rPr>
          <w:b/>
        </w:rPr>
        <w:t>E. 6.4.2</w:t>
      </w:r>
    </w:p>
    <w:p>
      <w:r>
        <w:t>Betreffend das Gebiet des Nordiraks gelangte das Bundesverwaltungsgericht in BVGE 2008/5 zu unterschiedlichen Einschätzungen der verschiedenen Teilgebiete. In den damals drei nordirakischen Provinzen Dohuk, Erbil und Suleimaniya seien die regionalen Sicherheitsbehörden grundsätzlich in der Lage und willens, den Einwohnern Schutz vor Verfolgung zu gewähren (vgl. a.a.O. E. 6.7). Diese Lageeinschätzung wurde im Urteil E-3737/2015 vom 14. Dezember 2015 (als Referenzurteil publiziert) bestätigt. Das Bundesverwaltungsgericht gelangte in diesem Urteil zum Schluss, dass der Zumutbarkeitspraxis betreffend Nordirak gemäss BVGE 2008/5 weiterhin zu folgen sei. Es wies darauf hin, dass der anhaltende Konflikt in Syrien und der Vormarsch des IS eine Flüchtlingswelle ausgelöst hätten, wobei ein Grossteil der im Irak intern vertriebenen Personen (engl. internally displaced people [IDP]), aber auch zahlreiche Flüchtlinge aus Syrien in den kurdischen Provinzen Nordiraks Zuflucht gefunden hätten. Zum Schutze vor Infiltranten oder Sympathisanten des IS habe die KRG die Einreisebedingungen und die Sicherheitsvorkehrungen verschärft. Eigentliche militärische Auseinandersetzungen mit dem IS innerhalb der KRG seien nicht zu verzeichnen, so dass die Sicherheitslage in der KRG-Region grundsätzlich weiterhin als stabil bezeichnet werden könne und heute nach wie vor keine Situation allgemeiner Gewalt im Sinne von Art. 83 Abs. 4 AuG vorliege. Der Wegweisungsvollzug in die KRG-Region sei somit grundsätzlich zumutbar.Das Bundesverwaltungsgericht sieht vorliegend keine Gründe, von dieser gefestigten Praxis abzuweichen. Der Wegweisungsvollzug nach B._______ ist grundsätzlich als zumutbar zu qualifizieren. Hinzu kommt, dass der Beschwerdeführer jung und gesund ist (vgl. Akten des Asylverfahrens, A4/14, F 8.02; A14/19, F 139), über mehrere Jahre berufliche Erfahrung als Plattenleger verfügt und dabei ein für irakische Verhältnisse sehr gutes tägliches Einkommen von 70-200 US-Dollar erzielte (vgl. Akten des Asylverfahrens, A4/14, F 1.17.05; A14/19, F 38, F 68). In B._______ leben zudem seine Eltern und Geschwister, zu denen er den Kontakt auch während seines Aufenthalts in der Schweiz aufrechterhalten hat (vgl. Akten des Asylverfahrens, A4/14, F 3.01; A14/19, F 44, F 46). Der Wegweisungsvollzug ist auch in individueller Hinsicht als zumutbar zu qualifizieren.</w:t>
      </w:r>
    </w:p>
    <w:p>
      <w:r>
        <w:rPr>
          <w:b/>
        </w:rPr>
        <w:t>E. 6.4.3</w:t>
      </w:r>
    </w:p>
    <w:p>
      <w:r>
        <w:t>Nach dem Gesagten erweist sich der Wegeweisungsvollzug als zumutbar.</w:t>
      </w:r>
    </w:p>
    <w:p>
      <w:r>
        <w:rPr>
          <w:b/>
        </w:rPr>
        <w:t>E. 6.5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weshalb das Gesuch um Gewährung der unentgeltlichen Rechtspflege (Art. 65 Abs. 1 VwVG) in Anbetracht der nachgewiesenen prozessualen Bedürftigkeit gutzuheissen ist. Dementsprechend verzichtet das Gericht auf die Erhebung von Verfahrenskosten.</w:t>
      </w:r>
    </w:p>
    <w:p>
      <w:r>
        <w:rPr>
          <w:b/>
        </w:rPr>
        <w:t>E. 8.2</w:t>
      </w:r>
    </w:p>
    <w:p>
      <w:r>
        <w:t>Entgegen der Auffassung der Rechtsvertreters richtet sich die Einsetzung eines amtlichen Rechtsbeistands vorliegend nicht nach Art. 65 Abs. 2 VwVG, sondern nach Art. 110a Abs. 1 AsylG, so dass namentlich nicht nachzuweisen ist, dass die Rechtssache eine Komplexität aufweist, die den Beizug eines Rechtsbeistands als notwendig erscheinen lässt. Nachdem die Voraussetzungen für die Gewährung der unentgeltlichen Rechtspflege (Art. 65 Abs. 1 VwVG) vorliegend bejaht wurden (vgl. E. 8.1), ist auch dem Gesuch um Beiordnung des erstgenannten Rechtsvertreters als amtlicher Rechtsbeistand zu entsprechen.</w:t>
      </w:r>
    </w:p>
    <w:p>
      <w:r>
        <w:rPr>
          <w:b/>
        </w:rPr>
        <w:t>E. 8.3</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 Eine Kostennote wurde bisher nicht zu den Akten gereicht. Auf das Nachfordern einer solchen kann indes verzichtet werden, da sich der notwendige Vertretungsaufwand aufgrund der Akten hinreichend zuverlässig abschätzen lässt. Unter Berücksichtigung der Bemessungsgrundsätze (Art. 9 - 13 VGKE) ist die amtliche Entschädigung auf Fr. 1500.- (einschliesslich Mehrwertsteuer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