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E-933/2015 vom 15. Juni 2015</w:t>
      </w:r>
    </w:p>
    <w:p>
      <w:r>
        <w:t>Bundesverwaltungsgericht, 2015-06-15, FR</w:t>
      </w:r>
    </w:p>
    <w:p>
      <w:r>
        <w:rPr>
          <w:b/>
        </w:rPr>
        <w:t xml:space="preserve">Quelle: </w:t>
      </w:r>
      <w:r>
        <w:t>https://mcp.opencaselaw.ch/entscheid/bvger_E-933_2015</w:t>
      </w:r>
    </w:p>
    <w:p>
      <w:r>
        <w:t>FR: TAF E-933/2015 du 15 juin 2015</w:t>
      </w:r>
    </w:p>
    <w:p>
      <w:r>
        <w:t>IT: TAF E-933/2015 del 15 giugno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Le Tribunal ne remet pas en cause la réalité de l'engagement politique du recourant en faveur du DTP, et de manière générale de la cause kurde, attestée par plusieurs éléments de preuve. En revanche, il constate, en portant sur son cas un regard global, que jusqu'en 2009, il n'a jamais rencontré de difficultés graves avec les autorités turques du fait de cet engagement, bien que celui-ci ait débuté de nombreuses années auparavant. En effet, l'intéressé a pu occuper un poste de cadre local du DTP et se présenter aux élections municipales, sans que les autorités n'y fassent obstacle ou tente de s'en prendre à lui, bien que cette activité ait été publique. Le simple fait pour le recourant d'avoir milité au sein de ce parti n'apparaît donc pas avoir entraîné une persécution, ni risquer d'entraîner cette conséquence à l'avenir. Le DTP a certes été dissous en décembre 2009, par décision de la Cour suprême turque ; toutefois, les partis kurdes créés antérieurement (DEP, Hadep, Dehap) ont tout connu ce sort, sans que la situation de leurs militants en soit affectée. Le DTP a, en conséquence, laissé la place au BDP (Bari ve Demokrasi Partisi).</w:t>
      </w:r>
    </w:p>
    <w:p>
      <w:r>
        <w:rPr>
          <w:b/>
        </w:rPr>
        <w:t>E. 3.3</w:t>
      </w:r>
    </w:p>
    <w:p>
      <w:r>
        <w:t>L'interpellation d'avril 2009, dont le Tribunal ne remet pas en question la vraisemblance (bien que les circonstances en aient été dépeintes de manière sommaire), constitue en réalité le seul épisode, vécu par le recourant, pouvant être rapproché d'une persécution. Toutefois, sans avoir le dessein d'en minimiser la portée, le Tribunal observe cependant qu'il n'a pas revêtu une gravité permettant de le qualifier ainsi ; l'intéressé aurait en outre été libéré après deux heures, contre l'engagement de fournir des renseignements aux policiers. Le Tribunal doit d'ailleurs constater, à ce sujet, que l'intéressé ne représentait manifestement pas pour les autorités une cible d'importance, dans la mesure où aucune précaution n'aurait été prise pour s'assurer qu'il respecterait son engagement. Bien plus, il lui aurait été possible, peu de jours après son interpellation, d'obtenir sans encombres un nouveau passeport, ce qui indiquait clairement son intention de partir ; il a d'ailleurs quitté la Turquie sous sa propre identité, en passant les contrôles rigoureux de l'aéroport. Pour ce motif, il n'est pas convaincant que le recourant ait recouru à la corruption pour obtenir son passeport à K._______ ; il est bien plus probable que le document de voyage lui a été délivré de manière régulière, dans la ville où il était domicilié.</w:t>
      </w:r>
    </w:p>
    <w:p>
      <w:r>
        <w:rPr>
          <w:b/>
        </w:rPr>
        <w:t>E. 3.4</w:t>
      </w:r>
    </w:p>
    <w:p>
      <w:r>
        <w:t>D'après ses dires, le recourant n'est visé par aucune procédure pénale, et aucun indice sérieux ne tend à démontrer qu'il serait recherché ; en conséquence, une crainte fondée de persécution en cas de retour ne peut être retenue. Les autres motifs invoqués par l'intéressé ne sont pas pertinents. En effet, ses démêlés avec la justice militaire n'avaient aucun aspect politique, et sont très antérieurs à son départ, sans relation avec ce dernier. Quant au cas de ses trois frères, il apparaît sans aucun rapport avec le sien propre, tous ayant obtenu l'asile de nombreuses années avant qu'il ait quitté la Turquie ; une éventuelle coresponsabilité familiale, telle qu'invoquée dans le recours, n'est donc pas crédible. Les lettres de soutien émanant des frères de l'intéressé sont, dans ce contexte, sans portée, ceux-ci ne pouvant détenir aucune information précise sur les raisons du départ du recourant, et n'en articulent d'ailleurs aucune.</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que l'intéressé, comme vu plus haut, n'a pas établi la haute probabilité d'atteintes de cette nature. Dès lors,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la Turquie - et, dans le cas particulier, la région de E._______, proche de K._______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jeune, au bénéfice d'une expérience professionnelle d'entrepreneur en construction et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d'un passeport valable jusqu'en 2010, dont il lui appartient de requérir le renouvellement de la validité auprès de la représentation de son pays d'origine.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