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E-92/2014 vom 3. Juni 2014</w:t>
      </w:r>
    </w:p>
    <w:p>
      <w:r>
        <w:t>Bundesverwaltungsgericht, 2014-06-03, DE</w:t>
      </w:r>
    </w:p>
    <w:p>
      <w:r>
        <w:rPr>
          <w:b/>
        </w:rPr>
        <w:t xml:space="preserve">Quelle: </w:t>
      </w:r>
      <w:r>
        <w:t>https://mcp.opencaselaw.ch/entscheid/bvger_E-92_2014</w:t>
      </w:r>
    </w:p>
    <w:p>
      <w:r>
        <w:t>FR: TAF E-92/2014 du 3 juin 2014</w:t>
      </w:r>
    </w:p>
    <w:p>
      <w:r>
        <w:t>IT: TAF E-92/2014 del 3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w:t>
      </w:r>
    </w:p>
    <w:p>
      <w:r>
        <w:rPr>
          <w:b/>
        </w:rPr>
        <w:t>E. 4.2</w:t>
      </w:r>
    </w:p>
    <w:p>
      <w:r>
        <w:t>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3.3 S. 126).</w:t>
      </w:r>
    </w:p>
    <w:p>
      <w:r>
        <w:rPr>
          <w:b/>
        </w:rPr>
        <w:t>E. 5.1</w:t>
      </w:r>
    </w:p>
    <w:p>
      <w:r>
        <w:t>Die Vorinstanz führte zur Begründung ihres Entscheids im Wesentlichen aus, für die Gewährung der Einreise sei die Gefährdung einer asylsuchenden Person im Zeitpunkt der Einreisebewilligung massgebend. Vergangene Verfolgung sei nur dann beachtlich, wenn sie noch andauere oder konkrete Hinweise auf eine zukünftige Verfolgung bestehen würden. Befürchtungen, künftig (quasi)staatlichen Verfolgungsmassnahmen ausgesetzt zu sein, seien überdies nur dann einreisebeachtlich, wenn sie aufgrund ihrer Art und Intensität ein menschenwürdiges Leben im Verfolgerstaat verunmöglichen oder in unzumutbarer Weise erschweren würden, so dass sich die verfolgte Person dieser Zwangssituation nur durch Flucht ins Ausland entziehen könne. Vorweg sei darauf hinzuweisen, dass die Nachteile, welche der Beschwerdeführer in den Jahren 1995-2009 durch die LTTE erlitten habe, aktuell nicht mehr einreiserelevant seien. Überdies bringe er vor und belege mit den eingereichten Dokumenten, im (...) 2009 in eine Rehabilitationseinrichtung eingewiesen und im (...) 2010 entlassen worden zu sein. In diesem Zusammenhang und in Anbetracht der zahlreichen Gewaltereignisse der letzten Jahre sei verständlich, dass der Beschwerdeführer um seine Sicherheit fürchte und Angst vor weiteren staatlichen Verfolgungsmassnahmen habe. Seine Furcht vor zukünftiger Verfolgung erweise sich jedoch als im Sinne des AsylG nicht begründet. Gemäss ständiger Praxis der schweizerischen Asylbehörden könne die Einreisebewilligung nur erteilt werden, wenn bei einem weiteren Verbleib im Heimatstaat mit überwiegender Wahrscheinlichkeit von einer akuten Gefährdung der asylgesuchstellenden Person ausgegangen werden müsse. Eine solche sei im vorliegenden Fall nicht anzunehmen. Selbst wenn der Beschwerdeführer für seine Freilassung aus dem Rehabilitationszentrum im September 2010 tatsächlich Geld bezahlt haben sollte, würden keine Anhaltspunkte dafür bestehen, dass er aufgrund seines Aufenthalts dort in absehbarer Zukunft erneut staatlichen Verfolgungsmassnahmen ausgesetzt sein könnte. Zwar sei nicht auszuschliessen, dass er auch nach seiner Freilassung unter Beobachtung der sri-lankischen Behörden gestanden habe. Derartigen Massnahmen, die im Zusammenhang mit der allgemeinen Bekämpfung des Terrorismus der LTTE zu sehen seien, komme indessen aufgrund mangelnder Intensität kein Verfolgungscharakter zu. Wären die Behörden nach wie vor davon überzeugt gewesen, dass er in irgendeiner Weise eine Gefahr für die Staatssicherheit darstellen würde, wäre er zweifellos erneut inhaftiert worden. Dies sei jedoch nicht der Fall gewesen. Vielmehr sei (...). Im (...) 2010 habe er sich einige Zeit in Indien aufgehalten. Den Akten sei nicht zu entnehmen, dass er bei der Ausreise oder anlässlich der Rückkehr nach Sri Lanka irgendwelche Schwierigkeiten gehabt hätte. Schliesslich habe er sich seit Dezember 2010 nicht mehr bei der Botschaft gemeldet und keine weiteren Übergriffe geltend gemacht. Zusammenfassend sei festzustellen, dass er nicht schutzbedürftig im Sinne des AsylG sei. Die Einreise in die Schweiz sei daher zu verweigern, und das Asylgesuch sei abzulehnen.</w:t>
      </w:r>
    </w:p>
    <w:p>
      <w:r>
        <w:rPr>
          <w:b/>
        </w:rPr>
        <w:t>E. 5.2</w:t>
      </w:r>
    </w:p>
    <w:p>
      <w:r>
        <w:t>Der Beschwerdeführer hält den Ausführungen des BFM insbesondere entgegen, er befinde sich seit der Entlassung aus dem Rehabilitationscamp in grosser Gefahr. Er sei während vier Jahren als (...) für die LTTE tätig gewesen und sein Schwager sei gewaltsam getötet worden. Daher sei er eine bekannte Person. Seit seiner Entlassung aus dem Camp würden ihn die Sicherheitskräfte konstant überwachen und ihm folgen, so dass er in seiner Bewegungsfreiheit eingeschränkt sei. Vor einigen Monaten hätten sich Personen des Terrorist Investigation Department (TID) bei seinen Eltern in B._______ danach erkundigt, ob er jeweils nach Hause komme. Im (...) 2013 hätten zwei Personen bei der Schule seines Sohnes nachgefragt, ob dieser dort studiere. Ebenfalls im (...) sei er (Beschwerdeführer), gemeinsam mit vielen anderen Freigelassenen, von Sicherheitskräften gezwungen worden, in einem Bus nach B._______ zu fahren und gegen die (...) zu demonstrieren. Aufgrund der steten Beobachtung sei er psychisch angespannt und stehe unter Druck. Er fürchte sich sehr vor einer erneuten Verhaftung, da viele Personen, die freigelassen worden seien, erneut mitgenommen worden und seither verschwunden seien.</w:t>
      </w:r>
    </w:p>
    <w:p>
      <w:r>
        <w:rPr>
          <w:b/>
        </w:rPr>
        <w:t>E. 6</w:t>
      </w:r>
    </w:p>
    <w:p>
      <w:r>
        <w:t>Nach Prüfung der Akten gelangt das Bundesverwaltungsgericht in Übereinstimmung mit dem BFM zum Schluss, dass der Beschwerdeführer nicht auf den Schutz der Schweiz angewiesen ist.</w:t>
      </w:r>
    </w:p>
    <w:p>
      <w:r>
        <w:rPr>
          <w:b/>
        </w:rPr>
        <w:t>E. 6.1</w:t>
      </w:r>
    </w:p>
    <w:p>
      <w:r>
        <w:t>Mit dem BFM ist festzustellen, dass die geltend gemachten Tätigkeiten für die LTTE in den Jahren 1995 bis 1999 und 2008 bis 2009 (Reparatur (...) und Hilfsarbeiten) eine erneute Verhaftung des Beschwerdeführers als unwahrscheinlich erscheinen lassen, nachdem er sich bereits von (...) 2009 bis (...) 2010 in einem Rehabilitationszentrum aufhielt. In seinen Eingaben an die Botschaft brachte er in diesem Zusammenhang vor, er sei am (...) 2010 aus der Rehabilitation entlassen worden. Dies belegte er mit einer Haftbestätigung des IKRK sowie einem (...) samt Beilage, womit von einer ordnungsgemässen Entlassung auszugehen ist. Anlässlich der Botschaftsbefragung führte der Beschwerdeführer ergänzend aus, er sei aus dem Rehabilitationszentrum nur gegen Zahlung von 200'000 sri-lankischen Rupien entlassen worden. Fünf Tage danach habe die Sri Lanka Army (SLA) ihn aufgefordert, sich im Camp in H._______ zu melden. Dort hätten sie ihn unter anderem danach gefragt, wie es zu seiner Entlassung gekommen sei, nachdem am (...) 2010 Tag nur Studenten und behinderte Personen entlassen worden seien. Er habe die Bestechung verschwiegen und gesagt, seine Familie habe zur Erwirkung seiner Entlassung viele Briefe an das Ministerium geschrieben. Nach neun Stunden hätten sie ihn gehen lassen. Einige Zeit später hätten sie seiner Frau gesagt, er müsse sich beim I._______ Rehabilitationszentrum melden, was er nicht getan habe (vgl. die vorinstanzliche Akte A5/11 S. 7). Trotz diesen Behelligungen nach der Entlassung und obgleich davon ausgegangen werden muss, dass die Behörden Kenntnis von seinem seit (...) 2010 gleichgebliebenen Aufenthaltsort haben, erfolgten weder eine erneute Inhaftierung des Beschwerdeführers noch weitere persönliche Befragungen. Auch im Zusammenhang mit der Ausreise nach Indien und der Wiedereinreise nach Sri Lanka im (...) 2010 - mithin kurz nach der Entlassung aus dem Rehabilitationscamp - machte der Beschwerdeführer keine Befragungen oder sonstigen Zwischenfälle mit den sri-lankischen Behörden geltend. Sodann handelt es sich bei den geschilderten Vorfällen seit (...) 2010 (insb. Beobachtungen und Erkundigungen bei seinen Eltern und der Schule seines Sohnes) um Ereignisse, die mangels Intensität keinen Verfolgungscharakter im Sinne von Art. 3 AsylG haben. Als einzigen persönlichen Kontakt mit den Behörden seit der Befragung fünf Tage nach der Entlassung aus dem Rehabilitationscamp im (...) 2010 machte der Beschwerdeführer die erzwungene Teilnahme an einer Demonstration im (...) 2013 geltend, welcher mangels Intensität ebenfalls keine flüchtlingsrechtliche Relevanz zukommt. Schliesslich lässt sich auch aus den Schicksalen seiner Schwager oder anderer Personen keine Gefährdung des Beschwerdeführers ableiten. Zusammenfassend ist nicht davon auszugehen, dass dem Beschwerdeführer aufgrund seiner Tätigkeit für die LTTE und seines Aufenthalts im Rehabilitationszentrum - (...) - inskünftig erneut ernsthafte Nachteile von Seiten der sri-lankischen Behörden drohen.</w:t>
      </w:r>
    </w:p>
    <w:p>
      <w:r>
        <w:rPr>
          <w:b/>
        </w:rPr>
        <w:t>E. 6.2</w:t>
      </w:r>
    </w:p>
    <w:p>
      <w:r>
        <w:t>Im Übrigen kann auf die Erwägungen in der angefochtenen Verfügung verwiesen werden, denen sich das Bundesverwaltungsgericht vollumfänglich anschliesst. Insbesondere ergibt sich auch aus den eingereichten Beweismitteln keine aktuelle beziehungsweise drohende Gefährdung des Beschwerdeführers, und es erübrigt sich, auf diese weiter einzugehen.</w:t>
      </w:r>
    </w:p>
    <w:p>
      <w:r>
        <w:rPr>
          <w:b/>
        </w:rPr>
        <w:t>E. 6.3</w:t>
      </w:r>
    </w:p>
    <w:p>
      <w:r>
        <w:t>Nach dem Gesagten ist der Beschwerdeführer nicht schutzbedürftig im Sinne von Art. 3 AsylG. Die Vorinstanz hat ihm somit zu Recht die Einreise in die Schweiz verweigert und das Asylgesuch abgelehnt.</w:t>
      </w:r>
    </w:p>
    <w:p>
      <w:r>
        <w:rPr>
          <w:b/>
        </w:rPr>
        <w:t>E. 7</w:t>
      </w:r>
    </w:p>
    <w:p>
      <w:r>
        <w:t>Aus diesen Erwägungen ergibt sich, dass die angefochtene Verfügung Bundesrecht nicht verletzt und den rechtserheblichen Sachverhalt richtig sowie vollständig feststellt (Art. 106 Abs. 1 AsylG). Nach dem Gesagten ist die Beschwerde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