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E-927/2015 vom 23. Februar 2015</w:t>
      </w:r>
    </w:p>
    <w:p>
      <w:r>
        <w:t>Bundesverwaltungsgericht, 2015-02-23, DE</w:t>
      </w:r>
    </w:p>
    <w:p>
      <w:r>
        <w:rPr>
          <w:b/>
        </w:rPr>
        <w:t xml:space="preserve">Quelle: </w:t>
      </w:r>
      <w:r>
        <w:t>https://mcp.opencaselaw.ch/entscheid/bvger_E-927_2015</w:t>
      </w:r>
    </w:p>
    <w:p>
      <w:r>
        <w:t>FR: TAF E-927/2015 du 23 février 2015</w:t>
      </w:r>
    </w:p>
    <w:p>
      <w:r>
        <w:t>IT: TAF E-927/2015 del 23 febbraio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Dem Beschwerdeführer wurde die angefochtene Verfügung am 6. Februar 2015 eröffnet. Die Beschwerde ist somit fristgerecht (Art. 108 Abs. 2 AsylG); sie ist auch formgerecht (Art. 52 Abs. 1 VwVG). Auf die Beschwerde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Vorinstanz tritt auf das Asylgesuch nicht ein und führt in der angefochtenen Verfügung aus, der Abgleich mit der Zentraleinheit Eurodac ergebe, dass der Beschwerdeführer am 11. Mai 2012 in Italien ein Asylgesuch eingereicht habe. Italien habe auf Ersuchen des SEM vom 12. Januar 2015 um Übernahme innerhalb der festgelegten Frist keine Stellung genommen, woraufhin gestützt auf Art. 25 Abs. 2 Dublin-III-VO die Zuständigkeit am 27. Januar 2015 an Italien übergegangen sei. Auf das dem Beschwerdeführer am 22. Januar 2015 zu Italien gewährte rechtliche Gehör hin habe er geltend gemacht, in die Schweiz gekommen zu sein, weil sein Asylgesuch in Italien abgelehnt worden sei. Seine Ausführungen würden an der Zuständigkeit Italiens zur Durchführung des Asyl- und Wegweisungsverfahrens nichts ändern. Was die Wegweisung nach Italien anbelange, so bestünde kein Wegweisungsvollzugshindernis. Die Wegweisung nach Italien sei zulässig, zumutbar und durchführbar.</w:t>
      </w:r>
    </w:p>
    <w:p>
      <w:r>
        <w:rPr>
          <w:b/>
        </w:rPr>
        <w:t>E. 3.3</w:t>
      </w:r>
    </w:p>
    <w:p>
      <w:r>
        <w:t>Der Beschwerdeführer rügt, die Vorinstanz widerspreche sich. So schreibe sie zuerst, die Schweiz sei das erste Land, indem um Asyl nachgesucht worden sei, und sodann stelle sie fest, Italien sei nach Dublin-III-VO zuständig. Im Übrigen habe Italien auf das Rückübernahmegesuch bislang nicht innert der festgelegten Frist Stellung genommen.</w:t>
      </w:r>
    </w:p>
    <w:p>
      <w:r>
        <w:rPr>
          <w:b/>
        </w:rPr>
        <w:t>E. 3.4</w:t>
      </w:r>
    </w:p>
    <w:p>
      <w:r>
        <w:t>Die Rüge des Beschwerdeführers geht fehl. Zwar trifft zu, dass das erste ordentliche Asylverfahren mit der Bestätigung des abgelehnten Asylentscheids endete und die Schweiz damit implizit ihre Zuständigkeit bejaht hatte. Feststeht aber auch, dass der Beschwerdeführer am 11. Mai 2012 in Italien erneut ein Asylgesuch einreichte, welches nach seinen eigenen Angaben ebenfalls abgelehnt wurde. Italien muss davon ausgegangen sein, dass die Schweiz keine Pflicht zur Wiederaufnahme hat; die italienischen Behörden haben kein entsprechendes Gesuch gestellt. Erfolgt das Wiederaufnahmegesuch nicht innerhalb der vorgesehenen Frist, so ist der Mitgliedstaat für die Prüfung des Antrags auf internationalen Schutz zuständig, in dem der neue Antrag gestellt wurde (Art. 23 Abs. 3 Dublin-III-VO). Es wird von der Vorinstanz ebenfalls richtig erkannt, dass Italien gemäss Art. 18 Abs. 1 Bst. d Dublin-III-VO weiterhin für das Verfahren zuständig bleibt, auch wenn das Verfahren in Italien bereits rechtskräftig abgeschlossen ist. Ebenso wird richtig erkannt, dass in casu keine Wegweisungsvollzugshindernisse nach Italien vorliegen. Auch das Vorbringen des Beschwerdeführers, Italien habe auf das Rückübernahmegesuch nicht innert Frist Stellung genommen, verkennt, dass nach Art. 25 Abs. 2 Dublin-III-VO die Verpflichtung zur Wiederaufnahme auf den Staat über geht, an den das Ersuchen gestellt wurde. Die Vorinstanz ist folgerichtig auf das Asylgesuch nicht eingetreten.</w:t>
      </w:r>
    </w:p>
    <w:p>
      <w:r>
        <w:rPr>
          <w:b/>
        </w:rPr>
        <w:t>E. 4</w:t>
      </w:r>
    </w:p>
    <w:p>
      <w:r>
        <w:t>Nach dem Gesagten ergibt sich, dass die angefochtene Verfügung Bundesrecht nicht verletzt und auch sonst nicht zu beanstanden ist (Art. 106 AsylG). Die Beschwerde ist abzuweisen.</w:t>
      </w:r>
    </w:p>
    <w:p>
      <w:r>
        <w:rPr>
          <w:b/>
        </w:rPr>
        <w:t>E. 5</w:t>
      </w:r>
    </w:p>
    <w:p>
      <w:r>
        <w:t>Bei diesem Ausgang des Verfahrens sind die Kosten dem Beschwerdeführer aufzuerlegen (Art. 63 Abs. 1 VwVG) und auf insgesamt Fr. 600.- festzusetzen (Art. 1-3 des Reglements vom 21. Februar 2008 über die Kosten und Entschädigungen vor dem Bundesverwaltungsgericht [VGKE]). Das Gesuch um unentgeltliche Prozessführung ist abzuweisen, da die Begehren des angeblich bedürftigen Beschwerdeführers gemäss vorstehenden Erwägungen aussichtslos und die kumulativen Voraussetzungen von Art. 65 Abs. 1 VwVG daher nicht erfüllt sind. Das Gesuch um Beschwerdeergänzung ist abzuweisen, da kein aussergewöhnlicher Umfang oder besondere Schwierigkeiten im vorliegenden Fall ersichtlich sind (Art. 53 VwVG). Mit Versendung der Akten vom 13. Februar 2015 der Vorinstanz, ist der Antrag um Akteneinsicht gegenstandslos geworden. Das Gesuch um aufschiebende Wirkung ist mit dem vorliegenden Beschwerdeurteil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