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E-9221/2025 vom 19. Februar 2026</w:t>
      </w:r>
    </w:p>
    <w:p>
      <w:r>
        <w:t>Bundesverwaltungsgericht, 2026-02-19, DE</w:t>
      </w:r>
    </w:p>
    <w:p>
      <w:r>
        <w:rPr>
          <w:b/>
        </w:rPr>
        <w:t xml:space="preserve">Quelle: </w:t>
      </w:r>
      <w:r>
        <w:t>https://mcp.opencaselaw.ch/entscheid/bvger_E-9221_2025</w:t>
      </w:r>
    </w:p>
    <w:p>
      <w:r>
        <w:t>FR: TAF E-9221/2025 du 19 février 2026</w:t>
      </w:r>
    </w:p>
    <w:p>
      <w:r>
        <w:t>IT: TAF E-9221/2025 del 19 febbraio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somit zuständig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zur Einreichung der Beschwerde legitimiert (Art. 105 und Art. 108 Abs. 2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Der Beschwerdeführer hat im Sinne eines Subeventualbegehrens die Rückweisung der Sache an die Vorinstanz zu weiteren Sachverhaltsabklärung beantragt. Vor dem Hintergrund der nachfolgenden Erwägungen ist jedoch von einem in entscheidrelevanter Hinsicht bereits hinreichend erstellten Sachverhalt auszugehen, weshalb das Gericht in der Sache zu entscheiden hat (Art. 61 Abs. 1 VwVG). Der Rückweisungsantrag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begründet die angefochtene Verfügung im Wesentlichen und unter eigehender Darlegung der einschlägigen bundesverwaltungsgerichtlichen Rechtsprechung damit, dass der Beschwerdeführer aufgrund der von ihm geltend gemachten Ermittlungs- und Strafverfahren nicht mit erheblicher Wahrscheinlichkeit eine flüchtlingsrechtlich relevante Verfolgung in der Türkei zu befürchten habe. Diese Vorbringen würden den Anforderungen an die Flüchtlingseigenschaft gemäss Art. 3 AsylG nicht standhalten, wobei bei offensichtlich fehlender flüchtlingsrechtlicher Relevanz darauf verzichtet werden könne, auf allfällige Unglaubhaftigkeitselemente einzugehen. Im Einzelnen weise der Beschwerdeführer kein politisches Profil auf. Er sei zu keinem Zeitpunkt Mitglied einer politischen Partei gewesen, sei - wenn überhaupt - nur sehr niederschwellig politisch aktiv gewesen und dies zugunsten der formalen politischen Partei HDP, die im Zeitpunkt seiner Aktivitäten nicht verboten gewesen sei. Ausserdem lägen seine niederschwelligen politischen Aktivitäten zum Teil länger in der Vergangenheit zurück, und er sei deswegen nie von den Behörden belangt worden. Den Akten würden sich keine konkreten Hinweise auf eine Reflexverfolgung in Bezug auf seinen Freund, der Mitglied in der (...) gewesen und verhaftet worden sei, entnehmen lassen. Nach Aktenlage sei gegen den Beschwerdeführer am (...) ein Gerichtsverfahren wegen Präsidentenbeleidigung gemäss Art. 299 des türkischen Strafgesetzbuchs (tStGB) eingeleitet worden. Die drei Verhandlungsprotokolle würden bezogen auf das eigentliche Strafverfahren keine materiellen Inhalte, sondern nur Formalitäten enthalten. Des Weiteren habe es im (...) ein staatsanwaltschaftliches Ermittlungsverfahren wegen Straftat oder Straftäter loben gemäss Art. 215 tStGB und Aufstachelung der Öffentlichkeit zu Hass, Feindseligkeit oder Erniedrigung gemäss Art. 216 tStGB sowie im (...) ein weiteres staatsanwaltschaftliches Ermittlungsverfahren wegen Propaganda für eine Terrororganisation gemäss Art. 7.2 des Antiterrorgesetzes (ATG) gegeben. Bezüglich des Ermittlungsverfahrens wegen Propaganda für eine Terrororganisation seien seit dem Vereinigungsbeschluss der Staatsanwaltschaft D._______ vom (...) offenbar keine weiteren Verfahrensschritte mehr ergangen, ebensowenig bezüglich der Ermittlungsverfahren wegen Straftat oder Straftäter loben gemäss Art. 215 tStGB und Aufstachelung der Öffentlichkeit zu Hass, Feindseligkeit oder Erniedrigung gemäss Art. 216 tStGB seit dem Trennungsbeschluss der Staatsanwaltschaft C._______ vom (...). Diese Ermittlungsverfahren, sollten sie überhaupt eingeleitet worden sein, seien wohl inzwischen eingestellt worden. Ferner sei die Dokumentation aller drei Ermittlungsverfahren unvollständig. Insbesondere würden die polizeilichen Ermittlungsakten fehlen, die Aufschluss darüber gäben, aufgrund welcher konkreter Handlungen oder Vergehen die türkischen Strafverfolgungsbehörden gegen ihn ermittelt hätten. Weiter bestünden gegen den Beschwerdeführer drei Vorführbefehle in Sachen Präsidentenbeleidigung ([...]), Aufstachelung der Öffentlichkeit zu Hass, Feindseligkeit oder Erniedrigung ([...]) und Propaganda für eine Terrororganisation ([...]). Dabei handle es sich formell nicht um Haftbefehle, sondern jeweils um Vorführbefehle, deren Zweck es sei, ihn einzuvernehmen und ihn danach wieder freizulassen. Des Weiteren sei der Beschwerdeführer in der Türkei strafrechtlich unbescholten. Da er strafrechtlich nicht vorbelastet sei und kein relevantes politisches Profil aufweise, bestehe für ihn keine beachtliche Wahrscheinlichkeit, zu einer unbedingten Freiheitsstrafe verurteilt zu werden. Da er demnach die Kriterien der Rechtsprechung (vgl. Referenzurteil des BVGer E-4103/2024 vom 8. November 2024 E. 9.6) nicht kumulativ erfülle, seien die geltend gemachten Ermittlungs- respektive Strafverfahren flüchtlingsrechtlich nicht relevant. Demnach könne die Frage offenbleiben, ob es sich um echte Verfahrensdokumente handle. Es seien keine Hinweise auf eine in absehbarer Zukunft drohende Untersuchungshaft vorhanden. Deshalb sei für ihn das Risiko, bei der Einreise in die Türkei festgenommen und in Untersuchungshaft gesetzt zu werden, als gering einzuschätzen. Gemäss den als Beleg für seine Aktivitäten in den sozialen Medien eingereichten Screenshots heisse er offenbar die militante Organisation PKK (Kurdische Arbeiterpartei) und deren gewaltsames Auftreten gut. Es sei somit nachvollziehbar, dass ein solches Verhalten zur Eröffnung eines Ermittlungsverfahrens respektive eines Strafverfahrens führt. Die strafrechtliche Verfolgung solcher Inhalte erscheint dem SEM demnach als rechtsstaatlich legitim. Solche Veröffentlichungen von Gewaltverherrlichungen könnten im Übrigen auch in der Schweiz strafrechtlich geahndet werden, weil sie als Aufruf zu Gewalt im Sinne von Art. 259 des schweizerischen Strafgesetzbuches (StGB) gewertet werden könnten (vgl. auch Referenzurteil des BVGer E-4103/2024 vom 8. November 2024 E. 8.6). Schliesslich nehme der Beschwerdeführer durch seine rechtsmissbräuchliche Provozierung einer strafrechtlichen Untersuchung offenkundig bewusst in Kauf, bei einer Rückkehr in die Türkei möglicherweise mit gewissen Unannehmlichkeiten konfrontiert zu werden. Das konsultierte Dossier seiner Mutter führe ebenfalls nicht zu einer anderen Einschätzung seines Asylgesuches.</w:t>
      </w:r>
    </w:p>
    <w:p>
      <w:r>
        <w:rPr>
          <w:b/>
        </w:rPr>
        <w:t>E. 6.2</w:t>
      </w:r>
    </w:p>
    <w:p>
      <w:r>
        <w:t>Dem entgegnet der Beschwerdeführer in seiner Rechtsmitteleingabe im Wesentlichen, dass in der Türkei Strafverfahren jahrelang hängig bleiben würden, bis die beschuldigte Person ihre Aussage mache. In den gegen ihn eingeleiteten Strafverfahren seien Haftbefehle erlassen worden. Nach dieser Phase würden die Ermittlungen entweder bis zu seiner Aussage ausgesetzt oder der Staatsanwalt werde zu dem Schluss kommen, dass seine (des Beschwerdeführers) Aussage nicht möglich sei, eine Anklageschrift erstellen und diese dem Strafgericht zur Einleitung eines Strafverfahrens vorlegen. Solche strafrechtlichen Ermittlungsverfahren würden nicht ohne Weiteres eingestellt. Aufgrund des politisch motivierten Verfahrens werde er, unter Berücksichtigung möglicher Strafverschärfungen, höchstwahrscheinlich zu einer Freiheitsstrafe von mehr als zwei Jahren verurteilt werden und diese Strafe im Gefängnis verbüssen müssen. Der Grund für das gegen ihn eingeleitete Strafverfahren und das strafrechtliche Ermittlungsverfahren liege ausschliesslich in seinen politischen Beiträgen und Bildern auf Social Media. Die gegen ihn aufgrund dieser Beiträge eingeleiteten Strafverfahren seien rechtsstaatlich nicht legitim. In einem der gegen den Beschwerdeführer erlassenen Vorführ-/Haftbefehle stehe nicht, dass er nach seiner Einvernahme freigelassen werden müsse. Ein Beschuldigter könne unabhängig davon, welche Angaben in einem Vorfühl-/Haftbefehl enthalten seien, nach seiner Einvernahme inhaftiert werden. Tatsächlich seien viele Asylsuchende, die aus der Schweiz in die Türkei ausgewiesen worden seien, in der Türkei inhaftiert worden. Die Vorinstanz verfalle in überspitzten Formalismus, wenn sie verlange, dass alle türkischen Gerichtsdokumente die von ihr beschriebenen Sicherheitsmerkmale aufweisen müssten. Er habe keine strafrechtlichen Ermittlungen gegen ihn provoziert, wie die Vorinstanz behaupte. Zudem bedeutet das, was die Vorinstanz als «gewisse Unannehmlichkeiten» bezeichnet, für den Betroffenen Inhaftierung, Misshandlung und Folter. Eine solche Bagatellisierung von Menschenrechtsverletzungen als «gewisse Unannehmlichkeiten» zu bezeichnen, sei absolut inakzeptabel. Er habe die Türkei verlassen, weil er grosse Furcht vor einer Gefahr gehabt habe, die sein Leben bedroht habe. Die Gefahr, der er ausgesetzt gewesen sei, beruhe auf konkreten Ereignissen und Gründen, die von Dritten wahrgenommen werden könnten. Daher handle es sich dabei um eine «begründete Furcht» im Sinne von Art. 3 Abs. 1 AsyIG. Es gebe viele Beispiele in den Medien, wie die türkische Regierung die kurdische Diaspora in der Schweiz intensiv ausspioniere, und auch zahlreiche Beispiele von Personen aus der türkischen und kurdischen Diaspora in der Schweiz, die von Spitzeln der türkischen Polizei gemeldet und bei Reisen in die Türkei verhaftet worden seien. Daher seien auch die intensiven exilpolitischen Aktivitäten des Beschwerdeführers in der Schweiz bei der Beurteilung einer Wegweisung in die Türkei angemessen zu berücksichtigen. Der Anschein, dass in der Türkei bei der Lösung der Kurdenfrage wieder eine Phase der Versöhnung eingeleitet worden sei und sich das politische Klima entspannt habe, entspreche nicht der Realität. Die türkische Regierung habe keinen einzigen konkreten Schritt unternommen, der zu einer Entspannung des politischen Klimas in der Türkei führen könnte, noch habe sie entsprechende gesetzliche Regelungen dazu getroffen.</w:t>
      </w:r>
    </w:p>
    <w:p>
      <w:r>
        <w:rPr>
          <w:b/>
        </w:rPr>
        <w:t>E. 7.1</w:t>
      </w:r>
    </w:p>
    <w:p>
      <w:r>
        <w:t>Das Bundesverwaltungsgericht kommt nach Durchsicht der Akten zum Schluss, dass das SEM in seiner Verfügung zu Recht zur Erkenntnis gelangt ist, der Beschwerdeführer erfülle die Flüchtlingseigenschaft nicht. Zur Vermeidung von Wiederholungen kann grundsätzlich mit den nachfolgenden Bemerkungen auf die Erwägungen der Vorinstanz verwiesen werden (vgl. Zusammenfassung in E. 6.1 des vorliegenden Urteils), da es dem Beschwerdeführer nicht gelingt, diesen etwas Stichhaltiges entgegenzusetzen.</w:t>
      </w:r>
    </w:p>
    <w:p>
      <w:r>
        <w:rPr>
          <w:b/>
        </w:rPr>
        <w:t>E. 7.2</w:t>
      </w:r>
    </w:p>
    <w:p>
      <w:r>
        <w:t>Den substanziierten Erwägungen in der angefochtenen Verfügung entgegnet der Beschwerdeführer im Wesentlichen mit teils weitschweifiger appellatorischer und pauschaler Kritik, Wiederholungen des aktenkundigen Sachverhalts, Hinweisen auf die Rechtsprechung des Bundesverwaltungsgerichts sowie Ausführungen zur allgemeinen Lage in der Türkei, der Vermutung behördlicher Verfolgung bei einer Rückkehr in die Türkei wie auch zur Auffassung, er verfüge über ein politisches Profil. Dies überzeugt umso weniger, als der Beschwerdeführer keine neuen Beweismittel einreicht.</w:t>
      </w:r>
    </w:p>
    <w:p>
      <w:r>
        <w:rPr>
          <w:b/>
        </w:rPr>
        <w:t>E. 7.3</w:t>
      </w:r>
    </w:p>
    <w:p>
      <w:r>
        <w:t>Mit der Vorinstanz ist davon auszugehen, dass der Beschwerdeführer über kein geschärftes politisches Profil verfügt. Gemäss eigenen Angaben ist er nie Mitglied in einer politischen Partei gewesen (SEM-Akte [...][A]16, F19), hat lediglich an Kundgebungen sowie als Zuhörer an Versammlungen teilgenommen (A16, F20) und Plakate an Wänden angebracht (A16, F18). Es handelte sich dabei hauptsächlich um Plakate für die Partei HDP (A16, F87). Demnach war er - wenn überhaupt - nur sehr niederschwellig politisch aktiv und dies zugunsten der formalen politischen Partei HDP, die im Zeitpunkt seiner Aktivitäten nicht verboten war. Ausserdem liegen seine niederschwelligen politischen Aktivitäten zum Teil länger in der Vergangenheit zurück. So gab er an, seit 2022 nicht mehr an Kundgebungen teilgenommen zu haben (A16, F41). Ferner sind keine Hinweise aktenkundig, dass er wegen seiner niederschwelligen politischen Aktivitäten jemals gezielt und in flüchtlingsrechtlich relevanter Weise von den Behörden belangt worden wäre (A16, F23 ff.). Nach eigenen Angaben wurde er auch nie festgenommen (A16, F90). Mangels einer breiten öffentlichen Wahrnehmung oder einer exponierten Stellung dürfte er für das türkische Regime keine Bedrohung darstellen, welche ein besonderes staatliches Verfolgungsinteresse begründet.</w:t>
      </w:r>
    </w:p>
    <w:p>
      <w:r>
        <w:rPr>
          <w:b/>
        </w:rPr>
        <w:t>E. 7.4.1</w:t>
      </w:r>
    </w:p>
    <w:p>
      <w:r>
        <w:t>Hinsichtlich der geltend gemachten Strafverfolgung wegen Präsidentenbeleidigung (Art. 299 tStGB) und Propaganda für eine Terrororganisation gemäss Art. 7 Abs. 2 ATG und der in diesem Zusammenhang gegen den Beschwerdeführer mutmasslich erlassenen Vorführbefehle hat die Vorinstanz zutreffend die im Referenzurteil des Bundesverwaltungsgerichts E-4103/2024 vom 8. November 2024 festgelegten Kriterien angewandt. Der Beschwerdeführer wendet dagegen ein, die gegen ihn eingeleiteten Verfahren und die in diesem Zusammenhang erlassenen Befehle liessen auf eine hohe Wahrscheinlichkeit einer Inhaftierung und einer unverhältnismässig harten Bestrafung schliessen. Dieser Einwand vermag nicht zu überzeugen. Wie im Referenzurteil E-4103/2024 vom 8. November 2024 (E. 8.1 und 8.4.3 f.) festgehalten, liegt die statistische Wahrscheinlichkeit einer Verurteilung bei Delikten gemäss Art. 299 tStGB und Art. 7 Abs. 2 ATG auf einem tiefen Niveau. Mit der Vorinstanz liegen auch in Strafverfahren nach Art. 216 tStGB anhand der türkischen Statistiken aus dem Jahr 2023 und 2024 die Prozentzahlen bezüglich der Anzahl der eröffneten Strafverfahren und der Verurteilungen im Wesentlichen in der Bandbreite der Zahlen für ATG-Delikte und den Tatbestand der Präsidentenbeleidigung (Directorate for Criminal Records and Statistics, Justice Statistics 2023, S. 71 f., 100 f; &lt;https://adlisicil.adalet.gov.tr/Resimler/SayfaDokuman/22042024115644ADalet_ist-2023CALISMALARI59.pdf , besucht am 16.2.2026; Justice Statistics 2024, 7042025092455Adalet_ statistikleri_2024 Türkçe_Ingilizce.pdf, S. 72, 100 f., &lt;https://adlisicil.adalet.gov.tr/Resimler/SayfaDokuman/7042025092455Adalet_%C4%B0statistikleri_2024%20T%C3%BCrk%C3%A7e_Ingilizce.pdf&gt;, besucht am 16.2.2026; vgl. zum Ganzen auch Urteil des BVGer E-4809/2025 vom 15. September 2025, S. 6.).</w:t>
      </w:r>
    </w:p>
    <w:p>
      <w:r>
        <w:rPr>
          <w:b/>
        </w:rPr>
        <w:t>E. 7.4.2</w:t>
      </w:r>
    </w:p>
    <w:p>
      <w:r>
        <w:t>Im Übrigen werden ohnehin nur ein Bruchteil der türkischen Ermittlungs- und Strafverfahren im Zusammenhang mit pro-kurdischen Veröffentlichungen in den sozialen Medien in der Türkei mit einer Verurteilung zu einer unbedingten Haftstrafe enden (vgl. Referenzurteil BVGer E-4103/2024 vom 8. November 2024 E. 8.4 m.w.H.; Urteil des BVGer E-4809/2025 vom 15. September 2025, S. 6).</w:t>
      </w:r>
    </w:p>
    <w:p>
      <w:r>
        <w:rPr>
          <w:b/>
        </w:rPr>
        <w:t>E. 7.4.3</w:t>
      </w:r>
    </w:p>
    <w:p>
      <w:r>
        <w:t>Selbst im Verurteilungsfall schöpfen die türkischen Gerichte bei Ersttätern ohne geschärftes oppositionelles Profil den Strafrahmen in der Regel nicht aus, sondern verhängen Freiheitsstrafen im unteren Bereich, deren Vollzug häufig bedingt ausgesprochen oder deren Urteilsverkündung aufgeschoben wird (vgl. Referenzurteil des BVGer E-4103/2024 vom 8. November 2024 E. 8.7.1 f.). Aufgrund des niederschwelligen politischen Profils des Beschwerdeführers (E. 7.3 oben) gehen die in der Beschwerde geäusserten Behauptungen betreffend eine drohende Untersuchungshaft und eine flüchtlingsrechtlich relevante Bestrafung ins Leere. Da kein geschärftes politisches Profil vorliegt, ist davon auszugehen, dass ein allfälliges Strafverfahren rechtsstaatlich korrekt abgewickelt würde und nicht zu einer unbedingten Freiheitsstrafe führen würde.</w:t>
      </w:r>
    </w:p>
    <w:p>
      <w:r>
        <w:rPr>
          <w:b/>
        </w:rPr>
        <w:t>E. 7.5</w:t>
      </w:r>
    </w:p>
    <w:p>
      <w:r>
        <w:t>Im Weiteren hat die Vorinstanz in der angefochtenen Verfügung überzeugend dargelegt, dass keine Reflexverfolgung ersichtlich ist in Bezug auf seinen Freund, der verhaftet worden und ein Mitglied in der (...) gewesen sei.</w:t>
      </w:r>
    </w:p>
    <w:p>
      <w:r>
        <w:rPr>
          <w:b/>
        </w:rPr>
        <w:t>E. 7.6</w:t>
      </w:r>
    </w:p>
    <w:p>
      <w:r>
        <w:t>Die Vorinstanz durfte die Frage, ob es sich bei den mehrfach erwähnten aktenkundigen Justizdokumenten um echte Verfahrensdokumente handelt, angesichts der fehlenden Asylrelevanz bei Echtheitsunterstellung im Einklang mit der Rechtsprechung - ohne dabei in überspitzten Formalismus zu verfallen - offenlassen (vgl. Koordinationsurteil des BVGer E-4103/2024 vom 8. November 2024 E. 9.6).</w:t>
      </w:r>
    </w:p>
    <w:p>
      <w:r>
        <w:rPr>
          <w:b/>
        </w:rPr>
        <w:t>E. 7.7</w:t>
      </w:r>
    </w:p>
    <w:p>
      <w:r>
        <w:t>Schliesslich erübrigt es sich, mangels entsprechender Rügen und Hinweisen in den Akten auf dessen Relevanz für den vorliegenden Fall, auf das vom SEM konsultierte Dossier der Mutter des Beschwerdeführers einzugehen.</w:t>
      </w:r>
    </w:p>
    <w:p>
      <w:r>
        <w:rPr>
          <w:b/>
        </w:rPr>
        <w:t>E. 7.8</w:t>
      </w:r>
    </w:p>
    <w:p>
      <w:r>
        <w:t>Zusammenfassend ist festzuhalten, dass die zentralen Vorbringen des Beschwerdeführers den Anforderungen an die Flüchtlingseigenschaft gemäss Art. 3 AsylG nicht standhalten. Folglich hat die Vorinstanz zu Recht die Flüchtlingseigenschaft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In der Türkei herrscht keine Situation allgemeiner Gewalt. Die allgemeine Sicherheitslage steht einem Vollzug der Wegweisung des Beschwerdeführers in seinen Heimatstaat somit nicht entgegen. Im Februar 2023 forderten schwere Erdbeben im Südosten der Türkei tausende Todesopfer und zerstörten Grossteile der Infrastruktur. Gemäss aktueller Rechtsprechung ist dennoch der Vollzug der Wegweisung in eine der elf betroffenen Provinzen (Kahramanmaras, Hatay, Gaziantep, Osmaniye, Malatya, Adiyaman, Adana, Diyarbakir, Kilis, Sanliurfa und Elazig) nicht generell unzumutbar. Doch ist bei der Beurteilung der Zumutbarkeit des Wegweisungsvollzugs eine einzelfallweise Prüfung der individuellen Lebenssituation der Betroffenen vorzunehmen (vgl. Referenzurteil BVGer E-4103/2024 vom 8. November 2024 E. 13.2 und E. 13.3).</w:t>
      </w:r>
    </w:p>
    <w:p>
      <w:r>
        <w:rPr>
          <w:b/>
        </w:rPr>
        <w:t>E. 9.3.3</w:t>
      </w:r>
    </w:p>
    <w:p>
      <w:r>
        <w:t>Der eingehenden Begründung in der angefochtenen Verfügung, wonach der Wegweisungsvollzug des in der Türkei über ein unterstützendes familiäres Netz, Zugang zur Eigentumswohnung seiner Eltern sowie hinreichende Arbeitserfahrung verfügenden und an keinen ernsthaften gesundheitlichen Beschwerden leidenden Beschwerdeführers zumutbar ist, setzt dieser auf Beschwerdeebene nichts Substanzielles entgegen, womit es mit dem Verweis auf die zutreffende vorinstanzliche Erwägung (angefochtene Verfügung, Ziff. III/2) sein Bewenden hat.</w:t>
      </w:r>
    </w:p>
    <w:p>
      <w:r>
        <w:rPr>
          <w:b/>
        </w:rPr>
        <w:t>E. 9.3.4</w:t>
      </w:r>
    </w:p>
    <w:p>
      <w:r>
        <w:t>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11</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Dieser Betrag ist durch den am 18. Dezember 2025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