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E-921/2017 vom 13. Dezember 2018</w:t>
      </w:r>
    </w:p>
    <w:p>
      <w:r>
        <w:t>Bundesverwaltungsgericht, 2018-12-13, DE</w:t>
      </w:r>
    </w:p>
    <w:p>
      <w:r>
        <w:rPr>
          <w:b/>
        </w:rPr>
        <w:t xml:space="preserve">Quelle: </w:t>
      </w:r>
      <w:r>
        <w:t>https://mcp.opencaselaw.ch/entscheid/bvger_E-921_2017</w:t>
      </w:r>
    </w:p>
    <w:p>
      <w:r>
        <w:t>FR: TAF E-921/2017 du 13 décembre 2018</w:t>
      </w:r>
    </w:p>
    <w:p>
      <w:r>
        <w:t>IT: TAF E-921/2017 del 13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angefochtenen Verfügung stellte die Vorinstanz zunächst unter Hinweis auf die Rechtsprechung fest, es könne auf eine Anhörung der Beschwerdeführenden verzichtet werden, da der Sachverhalt aufgrund der ausführlichen Begründung des vorliegenden Asylgesuchs in der schriftlichen Eingabe vom 18. Februar 2016 genügend erstellt sei. Die Ausführungen der Beschwerdeführenden in ihrer Stellungnahme vom 17. November 2016 zum Ergebnis der Botschaftsabklärung seien nicht geeignet, die differenzierte und ausführlich begründete Analyse des Vertrauensanwalts in Zweifel zu ziehen. Es dränge sich der Schluss auf, dass sie versucht hätten, sich mithilfe gefälschter Dokumente ein Aufenthaltsrecht in der Schweiz zu erwirken, weshalb diese Unterlagen eingezogen würden. Das Bundesverwaltungsgericht gehe in ständiger Praxis davon aus, dass die genaue Ursache eines psychischen Leidens kaum je durch ein ärztliches Zeugnis nachgewiesen werden könne. Die in dem eingereichten Arztzeugnis beim Beschwerdeführer diagnostizierten psychischen Probleme (mittelschwere depressive Episode, Posttraumatische Belastungsstörung) seien per se nicht geeignet, die behauptete Verfolgung zu belegen. Diese Probleme vermöchten auch die Ungereimtheiten und Widersprüche in verschiedenen Aspekten ihrer Vorbringen nicht zu erklären und diese nicht zu entkräften.</w:t>
      </w:r>
    </w:p>
    <w:p>
      <w:r>
        <w:rPr>
          <w:b/>
        </w:rPr>
        <w:t>E. 3.2</w:t>
      </w:r>
    </w:p>
    <w:p>
      <w:r>
        <w:t>Es sei zwar bekannt, dass die iranischen Behörden sich grundsätzlich für die exilpolitischen Aktivitäten ihrer Staatsangehörigen interessieren würden. Jedoch davon auszugehen, dass die Überwachung sich auf Personen konzentriere, die durch ihr Engagement aus der Masse der regimekritischen iranischen Staatsgehörigen hervortreten und als ernsthafte Bedrohung für das iranische Regime wahrgenommen würden. Massgebend sei dabei, eine öffentliche Exponierung, die aufgrund der Persönlichkeit des Betroffenen, der Form des Auftritts und des Inhalts der in der Öffentlichkeit abgegebenen Erklärungen den Eindruck erwecke, dass diese Person eine Gefahr für das iranische Regime darstelle. Da die Beschwerdeführenden keine Vorverfolgung hätten glaubhaft machen können, sei davon auszugehen, dass sie beim Verlassen ihres Heimatlandes nicht als regimefeindliche Personen ins Blickfeld der iranischen Behörden geraten seien. Die exilpolitischen Aktivitäten des Beschwerdeführers vermöchten keine Furcht vor flüchtlingsrelevanter Verfolgung zu begründen, sei doch aufgrund der Akten nicht davon auszugehen, dass er sich in qualifizierter Weise betätigt habe. Seit den Wahlen von 2009 würden unzählige Personen im Iran regimekritische Artikel veröffentlichen. Die von den Beschwerdeführenden eingereichten Artikel würden hauptsächlich allgemeine Informationen zur Menschenrechtslage im Iran und kritische Äusserungen zum iranischen Regime enthalten. Sie würden nicht über die massentypischen und niedrigprofilierten Erscheinungsformen exilpolitischer Proteste hinausgehen. Auch die übrigen Aktivitäten des Beschwerdeführers, wie Teilnahmen an Anlässen und Demonstrationen, würden ihn nicht aus der Masse der mit dem Regime Unzufriedenen herausheben, und liessen ihn nicht als ernsthaften und potenziell gefährlichen Regimegegner erscheinen. Es könne seinen Angaben nicht entnommen werden, dass er bei den Sitzungen des Menschenrechtsrates in E._______ im Jahre 2015, an welchen er als Vertreter der NGO Südwind teilgenommen habe, eine besondere Funktion innegehabt habe. Vielmehr sei davon auszugehen, dass er diesen lediglich beigewohnt habe. Insgesamt sei davon auszugehen, dass er über kein Profil verfüge, welches für die iranischen Behörden von asylrechtlich relevantem Interesse sein könnte. An dieser Einschätzung vermöchten auch die eingereichten Beweismittel nichts zu ändern.</w:t>
      </w:r>
    </w:p>
    <w:p>
      <w:r>
        <w:rPr>
          <w:b/>
        </w:rPr>
        <w:t>E. 3.3.1</w:t>
      </w:r>
    </w:p>
    <w:p>
      <w:r>
        <w:t>Die Beschwerdeführenden verwiesen zur Begründung ihrer Beschwerde zunächst auf ihre Stellungnahme vom 5. November 2016 und hielten daran fest, dass Abklärungen der Schweizerischen Botschaft durch Vertrauensanwälte grundsätzlich fragwürdig und fehlerbehaftet seien. Die Vorinstanz habe sich in der angefochtenen Verfügung nicht zu den Argumenten, welche sie in ihrer Stellungnahme zum Fälschungsvorwurf vorgebracht hätten, geäussert, und habe damit ihren Anspruch auf rechtliches Gehör sowie die Begründungspflicht verletzt. Es werde daran festgehalten, dass der Beschwerdeführer im Iran zu einer langjährigen Gefängnisstrafe verurteil worden sei. Es könne nicht ausgeschlossen werden, dass er durch die Personen, welche ihm die Gerichtsdokumente beschafft hätten, mit Fälschungen betrogen worden sei. Im Weiteren erscheine es unwahrscheinlich, dass ein Patient, der über Monate und Jahre hinweg therapiert werde, die behandelnden medizinischen Fachpersonen erfolgreich über seine Erlebnisse belügen könne. Die eingereichten Arztzeugnisse seien vor diesem Hintergrund zumindest starke Indizien für die im Iran erlittene, mit Misshandlungen verbundene Haft. Notorisch sei überdies, dass das Vorliegen einer Posttraumatischen Belastungsstörung eine Erklärung für Ungereimtheiten und Widersprüche in den Aussagen von Asylsuchenden sein könne. Der unklare Hinweis der Vorinstanz, dass die Unstimmigkeiten in den Angaben des Beschwerdeführers sich nicht nur auf die traumatischen Erlebnisse sondern auf verschiedenste Elemente und Aspekte seiner Vorbringen beziehen würde, sei eine pauschale Infragestellung der Glaubhaftigkeit seiner Vorbringen, die den Anspruch auf eine nachvollziehbare und damit widerlegbare Begründung verletze.</w:t>
      </w:r>
    </w:p>
    <w:p>
      <w:r>
        <w:rPr>
          <w:b/>
        </w:rPr>
        <w:t>E. 3.3.2</w:t>
      </w:r>
    </w:p>
    <w:p>
      <w:r>
        <w:t>In Bezug auf die exilpolitischen Aktivitäten des Beschwerdeführers habe das SEM die eingereichten Beweismittel in keiner Weise gewürdigt und damit erneut den Gehörsanspruch verletzt. Die schiere Zahl und ansteigende Kadenz der Teilnahmen des Beschwerdeführers an öffentlichen Protestanlässen sowie seine Erkennbarkeit seien ein starkes Indiz für das Bestehen eines relevanten Verfolgungsinteresses der iranischen Sicherheitskräfte. Es sei notorisch, dass das iranische Regime Personen, die sich im Internet kritisch äussern würden, mit aller Schärfe verfolge. Die elektronischen Netzwerke würden ständig mit modernster Software überwacht. Die von der Vorinstanz getroffene Unterscheidung zwischen qualifizierter und weniger qualifizierter exilpolitischer Betätigung sei unter diesen Umständen nicht praktikabel, sondern es sei von einem generell hohen Verfolgungsrisiko im Falle kritischer Äusserungen über das iranische Regime auszugehen. Die vom Beschwerdeführer verfassten Artikel würden eine breite und originelle Themenwahl aufzeigen. An den Sitzungen des Menschenrechtsrats im Jahr 2015 sei er als Vertreter der NGO Südwind in Erscheinung getreten und es sei davon auszugehen, dass er vom iranischen Regime, dessen Vertreter ebenfalls regelmässig anwesend seien, identifiziert worden sei. Die Liste der Teilnehmer dürfte zudem ohne Weiteres erhältlich sein. Die Artikel und Beiträge des Beschwerdeführers würden durch ihre Veröffentlichung in der Zeitschrift des VVMIran und auf dem Internet weite Verbreitung finden und er habe sich dadurch sowie durch sein Engagement für "Südwind" erheblich exponiert. Andere iranische Teilnehmer der Sitzungen des UN-Menschenrechtsrats seien von der Vorinstanz inzwischen als Flüchtlinge anerkannt worden. Demnach sei von einer Verletzung des Gebots der Gleichbehandlung auszugehen. Die entsprechenden Akten seien zur Entscheidfindung beizuziehen. Aus den eingereichten Dokumenten werde deutlich, dass er seine exilpolitischen Aktivitäten für verschiedene Gruppierungen seit mehreren Jahren ununterbrochen ausübe. Es bestehe kein Zweifel, dass er durch die iranischen Sicherheitskräfte namentlich identifiziert und registriert worden sei. Auch der Umstand, dass er oft und regelmässig an Versammlungen, Unterschriftensammlungen und Demonstrationen teilnehme, sei Beweis für sein ernsthaftes und dauerhaftes Engagement gegen das iranische Regime. Es sei bekannt, dass das iranische Regime sehr viel in die Überwachung der oppositionellen politischen Kräfte investiere und hierfür über sehr gut ausgebildetes Personal verfüge. Es werde hierzu auf eine Länderanalyse der Schweizerischen Flüchtlingshilfe (SFH) vom 4. April 2006 verwiesen Aus diesen Gründen müsse der Beschwerdeführer im Falle einer Rückkehr in den Heimatstaat mit ernsthaften Nachteilen im Sinne von Art. 3 AsylG rechnen.</w:t>
      </w:r>
    </w:p>
    <w:p>
      <w:r>
        <w:rPr>
          <w:b/>
        </w:rPr>
        <w:t>E. 4.1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dies ist nur der Fall,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in: Auer/Müller/Schindler [Hrsg.], a.a.O., N. 6 ff. zu Art. 35; BGE 136 I 184 E. 2.2.1, BVGE 2013/34 E. 4.1, BVGE 2008/47 E. 3.2 S. 674 f., BVGE 2007/30 E. 5.6 S. 366 f.).</w:t>
      </w:r>
    </w:p>
    <w:p>
      <w:r>
        <w:rPr>
          <w:b/>
        </w:rPr>
        <w:t>E. 4.2</w:t>
      </w:r>
    </w:p>
    <w:p>
      <w:r>
        <w:t>Nach Auffassung des Gerichts hat die Vorinstanz diesen Anforderungen im vorliegenden Fall Genüge getan. Entgegen der Auffassung der Beschwerdeführenden hat sie sich in erforderlichem Umfang und genügender Differenziertheit mit den Vorbringen betreffend die behauptete gerichtliche Verurteilung des Beschwerdeführers sowie seine Traumatisierung und den diesbezüglich eingereichten Beweismitteln auseinandergesetzt und dargelegt, aus welchen Gründen nach ihrer Auffassung diesen keine flüchtlingsrechtliche Relevanz beizumessen ist. Insgesamt ist die vorinstanzliche Verfügung so abgefasst, dass sich die Beschwerdeführenden über die Tragweite des Entscheids ein Bild machen konnten; es war ihnen denn auch ohne Weiteres möglich, die vorinstanzliche Verfügung in materieller Hinsicht sachgerecht anzufechten. In dem Umstand, dass die Vorinstanz nicht sämtliche Elemente der Sachverhaltsvorbringen und Beweismittel der Beschwerdeführenden ausdrücklich würdigte, ist keine Gehörsverletzung zu erblicken.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Der Beschwerdeführer 1 macht inhaltlich das Vorliegen subjektiver Nachfluchtgründe im Sinne von Art. 54 AsylG geltend, indem er vorbringt, sich in der Schweiz exilpolitisch engagiert zu haben, weshalb er bei einer Rückkehr in den Iran Verfolgung seitens der iranischen Behörden befürchten müsste.</w:t>
      </w:r>
    </w:p>
    <w:p>
      <w:r>
        <w:rPr>
          <w:b/>
        </w:rPr>
        <w:t>E. 6.1</w:t>
      </w:r>
    </w:p>
    <w:p>
      <w:r>
        <w:t>Subjektive Nachfluchtgründe sind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BVGE 2009/29 E. 5.1, BVGE 2009/28 E. 7.1 m.w.H.).</w:t>
      </w:r>
    </w:p>
    <w:p>
      <w:r>
        <w:rPr>
          <w:b/>
        </w:rPr>
        <w:t>E. 6.2.1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 zur Lage im Iran (vgl. BVGE 2009/28 E. 7.3.1) auch nach den Präsidentschaftswahlen im Juni 2013 nicht geändert und behält nach wie vor ihre Gültigkeit (vgl. Urteil des BVGer D-7272/2013 vom 5. November 2014 E. 7.1; Human Rights Council, Report of the Secretary-General on the Situation of Human Rights in the Islamic Republic of Iran, A/HRC/25/75, 11. März 2014, S. 4, Ziff. 7 ff.).</w:t>
      </w:r>
    </w:p>
    <w:p>
      <w:r>
        <w:rPr>
          <w:b/>
        </w:rPr>
        <w:t>E. 6.2.2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Auskunft der SFH, "Iran: Illegale Ausreise/Situation von Mitgliedern der PDKI/Politische Aktivitäten im Exil", 16. November 2010, S. 7 ff., m.w.H.). Es ist zwar bekannt, dass die iranischen Behörden die politischen Aktivitäten ihrer Staatsbürger im Ausland überwachen und erfassen (vgl. dazu Urteile des Bundesverwaltungsgerichts E-3923/2016 vom 24. Mai 2018 E. 5.2 und D-830/2016 vom 20. Juli 2016 E. 4.2, mit weiteren Hinweisen).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w:t>
      </w:r>
    </w:p>
    <w:p>
      <w:r>
        <w:rPr>
          <w:b/>
        </w:rPr>
        <w:t>E. 6.3</w:t>
      </w:r>
    </w:p>
    <w:p>
      <w:r>
        <w:t>Der Europäische Gerichtshof für Menschenrechte (EGMR) geht ebenfalls davon aus, dass eine möglicherweise drohende Verletzung von Art. 3 EMRK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6.4</w:t>
      </w:r>
    </w:p>
    <w:p>
      <w:r>
        <w:t>Der Beschwerdeführer vermochte mit seinem ersten Asylgesuch keine Vorverfolgung glaubhaft zu machen. Somit ist nicht davon auszugehen, dass er schon vor der Ausreise die Aufmerksamkeit der iranischen Behörden in relevantem Ausmass auf sich gezogen hat.</w:t>
      </w:r>
    </w:p>
    <w:p>
      <w:r>
        <w:rPr>
          <w:b/>
        </w:rPr>
        <w:t>E. 6.5</w:t>
      </w:r>
    </w:p>
    <w:p>
      <w:r>
        <w:t>Durch die vom Beschwerdeführer eingereichten Beweismittel ist erstellt, dass er seit (...) 2014 Mitglied der VVMIran ist und seither an zahlreichen Veranstaltungen und Anlässen dieser Organisation teilgenommen hat. Seit (...) 2018 ist er Verantwortlicher für (...) der Sektion Schweiz des VVMIran und ist (...). Der Beschwerdeführer hat zudem seit (...) 2016 zahlreiche regimekritische Beiträge in der monatlich erscheinenden Zeitschrift der VVMIran veröffentlicht. Den Akten ist weiter zu entnehmen, dass er als Vertreter der NGO "Südwind" an Veranstaltungen im Zusammenhang mit den UN-Menschenrechtskonferenzen in E._______ im (...) 2015 sowie im (...) 2016 und als Vertreter der "Association of World Citizens" am (...) 2018 und (...) 2018 an Parallelveranstaltungen der (...) und (...) Session des UN-Menschenrechtsrats teilnahm.</w:t>
      </w:r>
    </w:p>
    <w:p>
      <w:r>
        <w:rPr>
          <w:b/>
        </w:rPr>
        <w:t>E. 6.6</w:t>
      </w:r>
    </w:p>
    <w:p>
      <w:r>
        <w:t>Der Beschwerdeführer betätigt sich mithin auf mehreren Ebenen und mit verschiedenen Mitteln seit längerer Zeit exilpolitisch, und hat seine regimekritische Haltung auf diversen Kanälen publik gemacht. Massgeblich ins Gewicht fallen insbesondere seine mehrmaligen Teilnahmen an Nebenkonferenzen des UN-Menschenrechtsrats als Vertreter der NGO Südwind beziehungsweise der "Association of World Citizens", wobei er aufgrund des Namensschildes identifizierbar war. An den Veranstaltungen vom (...) und (...) 2018 hat er Referate gehalten, in welchen er die iranische Regierung aus verschiedenen Gründen kritisiert. Videoaufnahmen dieser Reden wurden auf YouTube sowie auf der Facebook-Seite "All human rights for all in Iran" aufgeschaltet. Es ist davon auszugehen, dass die iranische Regierung an solche Nebenkonferenzen Vertreter schickt, um allfällige Regimekritiker zu identifizieren. Demzufolge ist anzunehmen, dass die iranischen Überwachungsbehörden mit grosser Wahrscheinlichkeit vom Engagement des Beschwerdeführers Kenntnis genommen haben. Personen, die an solchen Konferenzen Kritik am iranischen Regime üben, exponieren sich in erheblichem Mass und heben sich deutlich von der breiten Masse von Regimegegnern ab (vgl. Urteil des BVGer D-474/2016 vom 10. Juli 2018, E. 6.5.3).</w:t>
      </w:r>
    </w:p>
    <w:p>
      <w:r>
        <w:rPr>
          <w:b/>
        </w:rPr>
        <w:t>E. 6.7</w:t>
      </w:r>
    </w:p>
    <w:p>
      <w:r>
        <w:t>Insgesamt ist aufgrund der Regelmässigkeit und der Intensität der oppositionellen Aktivitäten des Beschwerdeführers, welche dem iranischen Regime bekannt geworden sein dürften, der Schluss zu ziehen, dass er sich durch diese in erheblichem Mass exponiert hat und sich durch sein Engagement deutlich von der breiten Masse von iranischen Regimegegnern im Ausland abhebt. Demnach besteht Grund zur Annahme, dass der Beschwerdeführer von den iranischen Sicherheitskräften als ernstzunehmender Regimekritiker eingestuft werden dürfte.</w:t>
      </w:r>
    </w:p>
    <w:p>
      <w:r>
        <w:rPr>
          <w:b/>
        </w:rPr>
        <w:t>E. 6.8</w:t>
      </w:r>
    </w:p>
    <w:p>
      <w:r>
        <w:t>Vor diesem Hintergrund hat der Beschwerdeführer bei einer Rückkehr in den Iran mit überwiegender Wahrscheinlichkeit flüchtlingsrechtlich relevante, ernsthafte Nachteile im Sinne von Art. 3 AsylG zu gewärtigen. Es ist ihm somit eine begründete Furcht vor Verfolgung zu attestieren und er ist folglich als Flüchtling im Sinne von Art. 3 AsylG anzuerkennen. Da dies auf sein Verhalten nach der Ausreise aus dem Heimatstaat zurückzuführen ist, ist hingegen die Gewährung des Asyls ausgeschlossen (Art. 54 AsylG). Im Weiteren bestehen gemäss Aktenlage keine Ausschlussgründe im Sinne von Art. 1 FK.</w:t>
      </w:r>
    </w:p>
    <w:p>
      <w:r>
        <w:rPr>
          <w:b/>
        </w:rPr>
        <w:t>E. 6.9</w:t>
      </w:r>
    </w:p>
    <w:p>
      <w:r>
        <w:t>Bei diesem Ausgang des Verfahrens - und nachdem die Gewährung des Asyls in der Beschwerde vom 13. Februar 2017 nicht beantragt worden ist - kann die Frage der flüchtlingsrechtlichen Relevanz der übrigen Vorbringen der Beschwerdeführenden, namentlich der geltend gemachten Verurteilung des Beschwerdeführers zu einer lebenslänglichen Gefängnisstrafe im Iran wegen regimekritischer Aktivitäten sowie der in den eingereichten Arztzeugnissen diagnostizierten psychischen Erkrankung offengelassen werden.</w:t>
      </w:r>
    </w:p>
    <w:p>
      <w:r>
        <w:rPr>
          <w:b/>
        </w:rPr>
        <w:t>E. 6.10</w:t>
      </w:r>
    </w:p>
    <w:p>
      <w:r>
        <w:t>Nach dem Gesagten ist die Beschwerde gutzuheissen. Die Dispositiv-ziffern 1, 2, 4, 5 und 6 der angefochtenen Verfügung des SEM sind aufzuheben, und das Staatssekretariat ist anzuweisen, den Beschwerdeführer als Flüchtling anzuerkennen und vorläufig aufzunehmen.</w:t>
      </w:r>
    </w:p>
    <w:p>
      <w:r>
        <w:rPr>
          <w:b/>
        </w:rPr>
        <w:t>E. 7</w:t>
      </w:r>
    </w:p>
    <w:p>
      <w:r>
        <w:t>Die Beschwerdeführerin und ihr Kind erfüllen die originäre Flüchtlingseigenschaft nach Art. 3 AsylG nicht. Da der Beschwerdeführer die (originäre) Flüchtlingseigenschaft erfüllt und keine besonderen Umstände vorliegen, werden seine Ehefrau und das gemeinsame Kind nach Art. 51 Abs. 1 AsylG derivativ in die Flüchtlingseigenschaft einbezogen. Indes haben sie keinen Anspruch auf Asyl, wenn die Person, von der die Flüchtlingseigenschaft abgeleitet wird, vom Asyl ausgeschlossen wurde. Ein Flüchtling kann nicht mehr Rechte übertragen, als er oder sie selber besitzt (vgl. Entscheidungen und Mitteilungen der Schweizerischen Asylrekurskommission [EMARK] 2006 Nr. 7 E. 5.5 f. S. 79). Da dem Beschwerdeführer aufgrund von Art. 54 AsylG kein Asyl gewährt wird, sind auch seine Ehefrau und Tochter vorliegend von der Asylgewährung auszuschliessen.</w:t>
      </w:r>
    </w:p>
    <w:p>
      <w:r>
        <w:rPr>
          <w:b/>
        </w:rPr>
        <w:t>E. 8</w:t>
      </w:r>
    </w:p>
    <w:p>
      <w:r>
        <w:t>Bei diesem Ausgang des Verfahrens sind keine Verfahrenskosten aufzuerlegen.</w:t>
      </w:r>
    </w:p>
    <w:p>
      <w:r>
        <w:rPr>
          <w:b/>
        </w:rPr>
        <w:t>E. 9</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10</w:t>
      </w:r>
    </w:p>
    <w:p>
      <w:r>
        <w:t>Der Rechtsvertreter der Beschwerdeführenden hat mit Eingabe vom 24. Juli 2017 eine Kostennote zu den Akten gereicht. Der darin geltend gemachte zeitliche Aufwand (8,42 Stunden) sowie der Stundenansatz (Fr. 240.-) erscheinen angemessen. Dementsprechend wird die Parteientschädigung unter Berücksichtigung des für die nachträglichen Eingaben vom 21. Dezember 2017, 6. April 2018, 18. Juni 2018, 10. August 2018 und 13. November 2018 zu veranschlagenden Aufwands auf insgesamt Fr. 2850.- (inkl.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