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E-920/2023 vom 23. Februar 2023</w:t>
      </w:r>
    </w:p>
    <w:p>
      <w:r>
        <w:t>Bundesverwaltungsgericht, 2023-02-23, FR</w:t>
      </w:r>
    </w:p>
    <w:p>
      <w:r>
        <w:rPr>
          <w:b/>
        </w:rPr>
        <w:t xml:space="preserve">Quelle: </w:t>
      </w:r>
      <w:r>
        <w:t>https://mcp.opencaselaw.ch/entscheid/bvger_E-920_2023</w:t>
      </w:r>
    </w:p>
    <w:p>
      <w:r>
        <w:t>FR: TAF E-920/2023 du 23 février 2023</w:t>
      </w:r>
    </w:p>
    <w:p>
      <w:r>
        <w:t>IT: TAF E-920/2023 del 23 febbraio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L'intéressée a qualité pour recourir (art. 48 al. 1 PA, applicable par renvoi de l'art. 37 LTAF). Interjeté dans la forme (art. 52 al. 1 PA) et le délai (art. 108 al. 3 LAsi) prescrits par la loi, le recours est recevable.</w:t>
      </w:r>
    </w:p>
    <w:p>
      <w:r>
        <w:rPr>
          <w:b/>
        </w:rPr>
        <w:t>E. 2.1</w:t>
      </w:r>
    </w:p>
    <w:p>
      <w:r>
        <w:t>Il convient d'examiner en premier lieu les griefs formels soulevés par la recourante, ceux-ci étant susceptibles d'entraîner l'annulation de la décision attaquée indépendamment des chances de succès du recours sur le fond (cf. ATF 144 I 11 consid. 5.3, et la jurisprudence citée ; ATAF 2019 VII/6 consid. 4.1, 2013/34 consid. 4.2, 2013/23 consid. 6.1.3, 2010/35 consid. 4.1.1, et la jurisprudence citée).</w:t>
      </w:r>
    </w:p>
    <w:p>
      <w:r>
        <w:rPr>
          <w:b/>
        </w:rPr>
        <w:t>E. 2.1.1</w:t>
      </w:r>
    </w:p>
    <w:p>
      <w:r>
        <w:t>La recourante fait valoir que le SEM aurait violé la maxime inquisitoire et son droit d'être entendu. L'autorité intimée aurait selon elle instruit de manière insuffisante les faits pertinents relatifs aux mauvais traitements qu'elle aurait subis en Croatie (racisme, mauvais traitements physiques, conditions d'accueil déplorables et refus de soins), à la situation dans ce pays, notamment s'agissant de la possibilité pour elle d'avoir accès aux voies judiciaires, ainsi qu'à son état de santé.</w:t>
      </w:r>
    </w:p>
    <w:p>
      <w:r>
        <w:rPr>
          <w:b/>
        </w:rPr>
        <w:t>E. 2.1.2</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(cf. art. 13 PA et art.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w:t>
      </w:r>
    </w:p>
    <w:p>
      <w:r>
        <w:rPr>
          <w:b/>
        </w:rPr>
        <w:t>E. 2.1.3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2.1.4</w:t>
      </w:r>
    </w:p>
    <w:p>
      <w:r>
        <w:t>En l'espèce, la recourante a été entendue par le SEM sur ses problèmes médicaux, lors de son entretien Dublin du 22 décembre 2022. A cette occasion, elle a déclaré souffrir de douleurs sur le flanc droit, à l'intérieur de la poitrine et au niveau du nombril, alors que sur le plan psychologique, elle a indiqué souffrir de troubles du sommeil en lien avec la séparation de ses enfants. Au moment où l'autorité intimée a statué, elle disposait de plusieurs documents médicaux mettant en évidence les affections somatiques présentées par la recourante, à savoir le fait qu'elle souffrait de douleurs chroniques de l'arc costal antérieur droit et du flanc droit à la suite d'un traumatisme, d'un diabète de type 2, de problèmes de vue (presbytie et yeux secs) pour lesquels elle s'était vue prescrire des médicaments. Elle a également bénéficié d'une échographie, laquelle a permis de révéler deux petites tumeurs (hémangiomes) hépatiques et un kyste ovarien gauche, tous bénins. Dès lors, le SEM pouvait considérer que l'état de santé physique de l'intéressée était suffisamment établi et qu'il n'avait pas à prendre des mesures d'instruction supplémentaires sur ce point. Le même constat peut être fait s'agissant de ses troubles d'ordre psychique. En effet, même si son état psychique n'a pas fait l'objet d'un rapport médical circonstancié avant le prononcé de la décision du SEM, il a toutefois été décrit dans un formulaire F2 relatif à une consultation du 23 janvier 2023, lequel met en évidence la nécessité de poursuivre un suivi. Le fait que le diagnostic d'état de stress post-traumatique soit qualifié de "probable" n'est pas déterminant. En l'absence d'une péjoration significative de l'état de santé psychique de la recourante et de la nécessité d'une consultation auprès d'un spécialiste, le diagnostic de PTSD peut souffrir de rester indécis dans la mesure où l'intéressée a quoi qu'il en soit bénéficié d'une prise en charge psychiatrique suffisante dès l'évocation des premiers symptômes anxiodépressifs ressentis.</w:t>
      </w:r>
    </w:p>
    <w:p>
      <w:r>
        <w:rPr>
          <w:b/>
        </w:rPr>
        <w:t>E. 2.1.5</w:t>
      </w:r>
    </w:p>
    <w:p>
      <w:r>
        <w:t>Par ailleurs, l'autorité de première instance a, à bon escient, constaté que l'intéressée avait eu tout loisir de s'exprimer sur son séjour en Croatie et sur les violences qu'elle y aurait subies, ce qu'elle a d'ailleurs fait. Tout défaut d'instruction sur ce point peut donc également être écarté.</w:t>
      </w:r>
    </w:p>
    <w:p>
      <w:r>
        <w:rPr>
          <w:b/>
        </w:rPr>
        <w:t>E. 2.2</w:t>
      </w:r>
    </w:p>
    <w:p>
      <w:r>
        <w:t>La question de savoir si l'état de santé de la recourante ainsi que la situation qu'elle aurait rencontrée au cours de son séjour en Croatie constitueraient un obstacle à son transfert dans ce pays, respectivement entraîneraient la compétence de la Suisse pour traiter sa demande d'asile, relève du fond et sera examinée dans les considérants ci-après.</w:t>
      </w:r>
    </w:p>
    <w:p>
      <w:r>
        <w:rPr>
          <w:b/>
        </w:rPr>
        <w:t>E. 2.3</w:t>
      </w:r>
    </w:p>
    <w:p>
      <w:r>
        <w:t>Dans ces conditions, les griefs d'ordre formel invoqués par la recourante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RD III (cf. ATAF 2019 VI/7 consid. 4 à 6 ; 2017 VI/5 consid. 6.2 et 8.2.1).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w:t>
      </w:r>
    </w:p>
    <w:p>
      <w:r>
        <w:rPr>
          <w:b/>
        </w:rPr>
        <w:t>E. 5.1</w:t>
      </w:r>
    </w:p>
    <w:p>
      <w:r>
        <w:t>En l'occurrence, comme déjà relevé, les investigations entreprises par le SEM ont révélé que l'intéressée avait déposé une demande d'asile en Croatie le 23 novembre 2022. Sur la base de cette information, le SEM a soumis aux autorités compétentes, le 22 décembre suivant (dans les délais fixés à l'art. 23 par. 2 RD III), une requête aux fins de reprise en charge, fondée sur l'art. 18 al. 1 let. b RD III. Le 5 janvier 2023, la Croatie a expressément accepté cette requête sur la base de l'art. 20 par. 5 RD III. Ce point n'est pas contesté dans le recours.</w:t>
      </w:r>
    </w:p>
    <w:p>
      <w:r>
        <w:rPr>
          <w:b/>
        </w:rPr>
        <w:t>E. 6.1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Conformément à la pratique actuelle du Tribunal dans le cadre de procédures de reprise en charge Dublin (cf. arrêt E-1684/2002 du 11 janvier 2023, consid. 6.2 et réf. cit), il n'y a, en l'état, pas de sérieuses raisons de croire qu'il existe en Croatie des défaillances systémiques dans la procédure d'asile et les conditions d'accueil des demandeurs concernés par ces procédures de reprise en charge, et ce nonobstant les prises de position critiques de plusieurs organismes (notamment le Conseil de l'Europe), essentiellement concernant une pratique de la Croatie consistant à renvoyer des migrants vers la Bosnie-Herzégovine. Partant, dans le cadre de procédures de reprise en charge Dublin, le respect par la Croatie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et à l'art. 3 de la Convention contre la torture ou autres peines ou traitements cruels, inhumains ou dégradants du 10 décembre 1984 (Conv. torture, RS 0.105) demeure présumé (cf. ATAF 2017 VI/5 consid. 8.4 ; 2010/45 consid. 7.4 et 7.5).</w:t>
      </w:r>
    </w:p>
    <w:p>
      <w:r>
        <w:rPr>
          <w:b/>
        </w:rPr>
        <w:t>E. 6.3</w:t>
      </w:r>
    </w:p>
    <w:p>
      <w:r>
        <w:t>En l'occurrence, la position du SEM sur l'absence de défaillances systémiques dans le cas d'espèce (reprise en charge Dublin) est conforme à la pratique précitée du Tribunal (cf. également, parmi d'autres, arrêts du Tribunal E-5887/2022 du 13 janvier 2023 consid. 5.1 ; F-4998/2022 du 9 novembre 2022 consid. 6.4 ; D-4243/2022 du 4 novembre 2022 consid. 8.5 ; E-4732/2022 du 31 octobre 2022 consid. 5.1 et ref. cit.), dans la mesure notamment où l'intéressée a pu déposer une demande de protection en Croatie et que cet Etat a expressément accepté de la reprendre en charge sur son territoire. Quant à ses allégations, très succinctes et étayées par aucun élément concret ou probant, relatives au comportement de la police croate à son égard, on ne saurait leur accorder de portée générale décisive sous l'angle de l'art. 3 par. 2 2ème phrase du règlement Dublin III.</w:t>
      </w:r>
    </w:p>
    <w:p>
      <w:r>
        <w:rPr>
          <w:b/>
        </w:rPr>
        <w:t>E. 6.4</w:t>
      </w:r>
    </w:p>
    <w:p>
      <w:r>
        <w:t>Partant, le SEM a considéré à juste titre que l'application de l'art. 3 par. 2 du règlement Dublin III ne se justifiait pas dans le cas d'espèce.</w:t>
      </w:r>
    </w:p>
    <w:p>
      <w:r>
        <w:rPr>
          <w:b/>
        </w:rPr>
        <w:t>E. 7.1</w:t>
      </w:r>
    </w:p>
    <w:p>
      <w:r>
        <w:t>Pour s'opposer à son transfert vers la Croatie, l'intéressée dit avoir été maltraitée par la police croate lors de son interpellation. Elle aurait notamment été poursuivie par les chiens, puis malmenée physiquement. Elle aurait été retenue, sans ses habits, avec 25 autres personnes dans des toilettes pendant deux jours, avant d'être emmenée dans une salle, où elle aurait été surveillée continuellement pendant dix jours et n'aurait reçu aucune assistance médicale malgré sa toux. Elle s'est également plainte d'avoir fait l'objet de racisme de la part des autorités croates, lesquelles auraient traités les personnes d'autres ethnies différemment. Atteinte dans sa santé physique et psychique, elle devrait, selon elle, être considérée comme particulièrement vulnérable en cas de transfert. Elle a également soutenu qu'elle ne pourrait bénéficier des soins nécessaires au sein des structures médicales croates. En outre, elle a émis des doutes quant à l'accès à une procédure d'asile équitable et respectueuse des droits fondamentaux. Elle invoque ainsi une violation de l'art. 17 par. 1 du règlement Dublin III en lien avec les art. 3 et 13 CEDH ainsi que 3 et 14 CCT, ainsi qu'en lien avec l'art. 29a al. 3 de l'ordonnance 1 sur l'asile du 11 août 1999 (OA 1, RS 142.311). Elle estime en outre que le SEM a contrevenu à l'art. 2 de la Convention du 18 décembre 1979 sur l'élimination de toutes les formes de discrimination à l'égard des femmes (RS 0.108 ; ci-après : CEDEF).</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w:t>
      </w:r>
    </w:p>
    <w:p>
      <w:r>
        <w:rPr>
          <w:b/>
        </w:rPr>
        <w:t>E. 7.3</w:t>
      </w:r>
    </w:p>
    <w:p>
      <w:r>
        <w:t>Selon la jurisprudence Cour européenne des droits de l'homme (ci-après :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points 66 à 68 ainsi qu'ATAF 2017 VI/7 consid. 6.2).</w:t>
      </w:r>
    </w:p>
    <w:p>
      <w:r>
        <w:rPr>
          <w:b/>
        </w:rPr>
        <w:t>E. 7.4</w:t>
      </w:r>
    </w:p>
    <w:p>
      <w:r>
        <w:t>En l'espèce, la recourante n'a pas démontré que sa demande de protection ne serait pas traitée conformément aux dispositions légales applicables dans ce pays - notamment à celles de la CCT - et à la directive Procédure. Dans son cas, rien ne permet de considérer que les autorités croates refuseraient de procéder à l'examen de sa demande de protection si au terme du processus de détermination elles s'estiment responsables (cf. supra consid. 4.4). Les problèmes soulevés dans le recours concernant la situation générale en Croatie en lien avec la procédure d'asile (cf. supra, consid. 5.3 et p. 14s. et 20 du recours) ne sauraient infléchir ce raisonnement. En outre, la recourante n'a fourni aucun élément susceptible de démontrer que la Croatie ne respecterait pas le principe de non-refoulement, et donc faillirait à ses obligations internationales en la renvoyant dans un pays où sa vie, son intégrité corporelle ou sa liberté seraient sérieusement menacées, ou encore d'où elle risquerait d'être astreinte à se rendre dans un tel pays.</w:t>
      </w:r>
    </w:p>
    <w:p>
      <w:r>
        <w:rPr>
          <w:b/>
        </w:rPr>
        <w:t>E. 7.5</w:t>
      </w:r>
    </w:p>
    <w:p>
      <w:r>
        <w:t>L'intéressée, qui n'est resté que douze jours en Croatie, n'a pas non plus apporté d'indices suffisants qu'elle serait privée durablement, dans ce pays, des conditions matérielles prévues par la directive Accueil et qu'elle ne pourrait au besoin y faire valoir ses droits. Elle n'a en particulier pas démontré que ses conditions d'existence dans ce pays revêtiraient un tel degré de pénibilité et de gravité qu'elles seraient constitutives d'un traitement contraire à l'art. 3 CEDH ou encore à l'art. 3 Conv. torture (cf. arrêt du TAF F-1125/2021 du 19 mars 2021 consid. 4.5). Les mauvais traitements qu'elle aurait subis lors de son interpellation en Croatie ne sont en l'état ni étayés, ni décisifs. Quoi qu'il en soit, il n'existe pas de raison concrète et sérieuse d'admettre que lors de son transfert vers la Croatie, elle risque d'être exposée à une situation similaire à celle qu'elle dit avoir connue à son arrivée en Croatie, après son interpellation en tant que personne étrangère en situation irrégulière jusqu'à la prise de ses empreintes digitales et à l'enregistrement de sa demande d'asile. Le rapport du CPT du 3 décembre 2021 qu'elle cite ne permet pas d'aboutir à une autre conclusion puisqu'il dénonce des violences policières non pas à l'encontre de requérants d'asile repris en charge par la Croatie en application du RD III, mais à l'encontre de migrants entrés en Croatie par une frontière extérieure à l'espace Schengen. Dans ces circonstances, on ne saurait reprocher à l'autorité inférieure, comme argumenté dans le recours, de ne pas avoir vérifié l'accès effectif à une protection judiciaire appropriée pour les violences policières subies. Cela dit, si la recourante devait toutefois, à l'issue de son transfert en Croatie, être contrainte par les circonstances à mener une existence non conforme à la dignité humaine, ou si elle devait estimer que cet Etat ne respecte pas les directives européennes en matière d'asile, viole ses obligations d'assistance à leur encontre ou de toute autre manière porte atteinte à leurs droits fondamentaux, il lui appartiendrait de faire valoir ses droits directement auprès des autorités de ce pays (cf. arrêt du Tribunal F-1543/2018 du 19 mars 2018 consid. 6.2 ainsi que art. 26 Directive Accueil).</w:t>
      </w:r>
    </w:p>
    <w:p>
      <w:r>
        <w:rPr>
          <w:b/>
        </w:rPr>
        <w:t>E. 7.6.1</w:t>
      </w:r>
    </w:p>
    <w:p>
      <w:r>
        <w:t>Compte tenu de la jurisprudence restrictive en la matière, il y a encore lieu de considérer que les problèmes de santé évoqués par la recourante (cf. supra, consid. 2.1.4) ne sont pas d'une gravité telle qu'il se justifierait de renoncer à son transfert vers la Croatie (cf. arrêt Paposhvili c. Belgique précité). En effet, rien n'indique que l'intéressée présente des affections d'une gravité ou d'une spécificité telle qu'elles ne pourraient pas être traitées en Croatie, comme notamment le diabète de type 2 dont elle souffre et qui a été diagnostiqué tout récemment (sur les possibilités de prise en charge médicale dans le domaine de l'asile en Croatie, cf. arrêts du Tribunal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7.6.2</w:t>
      </w:r>
    </w:p>
    <w:p>
      <w:r>
        <w:t>Dès lors, il y a lieu de retenir que l'état de santé de la recourante ne saurait faire obstacle à l'exécution de son transfert vers la Croatie.</w:t>
      </w:r>
    </w:p>
    <w:p>
      <w:r>
        <w:rPr>
          <w:b/>
        </w:rPr>
        <w:t>E. 7.6.3</w:t>
      </w:r>
    </w:p>
    <w:p>
      <w:r>
        <w:t>Cela étant, il incombera aux autorités suisses chargées de l'exécution du transfert de transmettre à leurs homologues croates, en temps utile, les renseignements permettant une prise en charge médicale adéquate de la recourante (cf. art. 31 et 32 du règlement Dublin III), celle-ci ayant donné son accord écrit à la transmission d'informations médicales.</w:t>
      </w:r>
    </w:p>
    <w:p>
      <w:r>
        <w:rPr>
          <w:b/>
        </w:rPr>
        <w:t>E. 7.7</w:t>
      </w:r>
    </w:p>
    <w:p>
      <w:r>
        <w:t>Enfin, si certaines dispositions de la CEDEF sont considérées en doctrine comme directement applicables (cf. ATF 137 I 305 consid. 3.2 et réf. cit.), tel n'est pas le cas de son art. 2, qui constitue une norme programmatique à l'attention du législateur national. La recourante ne saurait donc s'en prévaloir pour s'opposer à son transfert vers la Croatie. Cela dit, elle n'a en rien démontré que son transfert l'exposerait à des formes graves de discrimination ou de violence en raison de sa qualité de femme.</w:t>
      </w:r>
    </w:p>
    <w:p>
      <w:r>
        <w:rPr>
          <w:b/>
        </w:rPr>
        <w:t>E. 7.8</w:t>
      </w:r>
    </w:p>
    <w:p>
      <w:r>
        <w:t>Par conséquent, le transfert de l'intéressée vers la Croatie n'est pas contraire aux obligations découlant de dispositions conventionnelles auxquelles la Suisse est liée.</w:t>
      </w:r>
    </w:p>
    <w:p>
      <w:r>
        <w:rPr>
          <w:b/>
        </w:rPr>
        <w:t>E. 7.9</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précité consid. 8).</w:t>
      </w:r>
    </w:p>
    <w:p>
      <w:r>
        <w:rPr>
          <w:b/>
        </w:rPr>
        <w:t>E. 7.10</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 l'intéressée,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(art. 111a al. 1 LAsi).</w:t>
      </w:r>
    </w:p>
    <w:p>
      <w:r>
        <w:rPr>
          <w:b/>
        </w:rPr>
        <w:t>E. 10.1</w:t>
      </w:r>
    </w:p>
    <w:p>
      <w:r>
        <w:t>Dans la mesure où il est immédiatement statué sur le fond, les requêtes tendant au prononcé de mesures superprovisionnelles (art. 56 PA), à l'octroi de l'effet suspensif ainsi qu'à la dispense du versement d'une avance de frais sont sans objet.</w:t>
      </w:r>
    </w:p>
    <w:p>
      <w:r>
        <w:rPr>
          <w:b/>
        </w:rPr>
        <w:t>E. 10.2</w:t>
      </w:r>
    </w:p>
    <w:p>
      <w:r>
        <w:t>Les conclusions du recours étant d'emblée vouées à l'échec, la requête d'assistance judiciaire partielle est, elle, rejetée (cf. art. 65 al. 1 PA).</w:t>
      </w:r>
    </w:p>
    <w:p>
      <w:r>
        <w:rPr>
          <w:b/>
        </w:rPr>
        <w:t>E. 10.3</w:t>
      </w:r>
    </w:p>
    <w:p>
      <w:r>
        <w:t>Vu l'issue de la cause, il y a ainsi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