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E-915/2012 vom 18. April 2012</w:t>
      </w:r>
    </w:p>
    <w:p>
      <w:r>
        <w:t>Bundesverwaltungsgericht, 2012-04-18, DE</w:t>
      </w:r>
    </w:p>
    <w:p>
      <w:r>
        <w:rPr>
          <w:b/>
        </w:rPr>
        <w:t xml:space="preserve">Quelle: </w:t>
      </w:r>
      <w:r>
        <w:t>https://mcp.opencaselaw.ch/entscheid/bvger_E-915_2012</w:t>
      </w:r>
    </w:p>
    <w:p>
      <w:r>
        <w:t>FR: TAF E-915/2012 du 18 avril 2012</w:t>
      </w:r>
    </w:p>
    <w:p>
      <w:r>
        <w:t>IT: TAF E-915/2012 del 18 aprile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Folglich ist er zur Einreichung der Beschwerde legitimiert (Art. 108 Abs. 2 AsylG, Art. 105 AsylG i.V.m. Art. 37 VGG und Art. 48 Abs. 1 sowie Art. 52 VwVG). Auf die Beschwerde ist somit einzutreten.</w:t>
      </w:r>
    </w:p>
    <w:p>
      <w:r>
        <w:rPr>
          <w:b/>
        </w:rPr>
        <w:t>E. 1.3</w:t>
      </w:r>
    </w:p>
    <w:p>
      <w:r>
        <w:t>Das Verfahren richtet sich nach dem VwVG, soweit das VGG und das AsylG nichts anderes bestimmen (Art. 37 VGG und Art. 6 AsylG).</w:t>
      </w:r>
    </w:p>
    <w:p>
      <w:r>
        <w:rPr>
          <w:b/>
        </w:rPr>
        <w:t>E. 1.4</w:t>
      </w:r>
    </w:p>
    <w:p>
      <w:r>
        <w:t>Gestützt auf Art. 111a Abs. 1 AsylG wurde vorliegend auf einen Schriftenwechsel verzichtet.</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demnach - sofern sie den Nichteintretensentscheid als unrechtmässig erachtet - einer selbstständigen materiellen Prüfung, hebt die angefochtene Verfügung auf und weist die Sache zu neuer Entscheidung an die Vorinstanz zurück (vgl. Entscheidungen und Mitteilungen der Schweizerischen Asylrekurskommission [EMARK] 2004 Nr. 34 E. 2.1). Auf die Rechtsbegehren betreffend Anerkennung der Flüchtlingseigenschaft und Asylgewährung ist somit nicht einzutreten. Die Vorinstanz hat die Frage der Wegweisung und des Vollzugs materiell geprüft, weshalb dem Bundesverwaltungsgericht diesbezüglich volle Kognition zukommt.</w:t>
      </w:r>
    </w:p>
    <w:p>
      <w:r>
        <w:rPr>
          <w:b/>
        </w:rPr>
        <w:t>E. 3.2</w:t>
      </w:r>
    </w:p>
    <w:p>
      <w:r>
        <w:t>Gemäss Art. 32 Abs. 2 Bst. e AsylG wird auf ein Asylgesuch nicht ein­getreten, wenn die asylsuchende Person in der Schweiz bereits ein Asylverfahren erfolglos durchlaufen oder ihr Gesuch zurückgezogen hat oder während des hängigen Asylverfahrens in den Heimat- oder Herkunfts­staat zurückgekehrt ist. Diese Bestimmung findet keine Anwendung, wenn die Anhörung Hinweise ergibt, dass in der Zwischenzeit Ereignisse eingetreten sind, die geeignet sind, die Flüchtlingseigenschaft zu begründen, oder die für die Gewährung vorübergehenden Schutzes relevant sind. Die Prüfung von Verfolgungshinweisen im Sinne dieser Bestimmung unterscheidet sich insbesondere von der Glaubhaftigkeitsprüfung im Rahmen einer materiellen Beurteilung. Gestützt auf Art. 32 Abs. 2 Bst. e AsylG ist nur dann ein Nichteintretensentscheid auszufällen, wenn die Unglaubhaftigkeit der Verfolgungshinweise bereits auf den ersten Blick erkennbar ist (vgl. EMARK 2000 Nr. 14). Bei der Prüfung von Hinweisen auf in der Zwischenzeit eingetretene, für die Flüchtlingseigenschaft relevante Ereignisse, die gemäss Art. 32 Abs. 2 Bst. e AsylG zum Eintreten auf das zweite Gesuch führen, sind die Anforderungen an das Beweismass tief anzusetzen (vgl. a.a.O. und EMARK 2005 Nr. 2). Die Relevanz der geltend gemachten Verfolgung misst sich allerdings am Verfolgungsbegriff von Art. 3 AsylG. Auf ein Asylgesuch ist mithin nicht einzutreten, wenn eines der Elemente des Flüchtlingsbegriffs gemäss Art. 3 AsylG offensichtlich nicht erfüllt ist (vgl. EMARK 2005 Nr. 2 zum Beweismass und Verfolgungsbegriff im Rahmen von Art. 32 Abs. 2 Bst. e AsylG). Art. 32 Abs. 2 Bst. e AsylG umfasst somit ein formelles (früheres Asylverfahren) sowie ein materielles Erfordernis (fehlende Hinweise auf Verfolgung), welche im Einzelfall beide gleichzeitig erfüllt sein müssen.</w:t>
      </w:r>
    </w:p>
    <w:p>
      <w:r>
        <w:rPr>
          <w:b/>
        </w:rPr>
        <w:t>E. 4.1</w:t>
      </w:r>
    </w:p>
    <w:p>
      <w:r>
        <w:t>Unbestritten ist, dass der Beschwerdeführer in der Schweiz bereits ein Asylverfahren - sowie ein Wiederwägungsverfahren (vgl. Ziff. II) - erfolglos durchlaufen hat (vgl. Ziff. I). Fraglich ist hingegen, ob aufgrund einer summarischen materiellen Glaub­haftigkeitsprüfung der Verfolgungsvorbringen Hinweise auf inzwischen eingetretene Ereignisse bestehen, welche geeignet sind, die Flüchtlingseigenschaft des Beschwerdeführers zu begründen, oder für die Gewährung des vorübergehenden Schutzes relevant sind, und die gemäss Art. 32 Abs. 2 Bst. e AsylG zum Eintreten auf das Asylgesuch führen.</w:t>
      </w:r>
    </w:p>
    <w:p>
      <w:r>
        <w:rPr>
          <w:b/>
        </w:rPr>
        <w:t>E. 4.2</w:t>
      </w:r>
    </w:p>
    <w:p>
      <w:r>
        <w:t>Nach Prüfung der Akten kommt das Bundesverwaltungsgericht in Übereinstimmung mit dem BFM zum Schluss, dass vorliegend keine Anhaltspunkte bestehen, dass nach Abschluss des ersten Asylverfahrens Ereignisse eingetreten sind, die geeignet wären, die Flüchtlingseigenschaft zu begründen, oder die für die Gewährung vorübergehenden Schutzes relevant wären. Der Beschwerdeführer führte anlässlich der Befragung zur Person sowie der Gewährung des rechtlichen Gehörs aus, dass sich seine Probleme mit den iranischen Behörden seit der Einreichung des ersten Asylgesuchs verstärkt hätten und unterdessen auch seine Mutter seinetwegen behelligt werde. Die in der Befragung zur Person eingereichte Vorladung vom (...) Oktober 2010 belege den angeblichen Umstand, dass er auch weiterhin gesucht werde. Wie das BFM zutreffend ausführte, wurde bereits im Rahmen des ersten Asyl- und des Wiedererwägungsverfahrens sowohl von der Vorinstanz als auch vom Bundesverwaltungsgericht (vgl. Urteil des Bundesverwaltungsgerichts E-3604/2010 vom 29.Juni 2010) festgehalten, dass die geltend gemachte Verfolgungsgeschichte des Beschwerdeführers als unglaubhaft zu beurteilen sei. Folglich entbehren daraus abgeleitete weitere Vorbringen jeglicher Glaubhaftigkeit, zumal die im Verlauf des ersten sowie zweiten Asylverfahrens entstandenen Unstimmigkeiten in den Aussagen des Beschwerdeführers zusätzliche Zweifel an der Richtigkeit der vorgebrachten Sachverhaltsdarstellung zulassen. Namentlich führte er anlässlich der Befragung zur Person aus, dass sein Cousin (...) die Handyaufnahmen getätigt habe (vgl. B5/10, S. 8 f.), indes er im ersten Asylverfahren angab, der Freund (...) habe mit seinem Mobiltelefon die Diskussion über den Koran im Freundeskreis gefilmt und [verwandte Person] des Beschwerdeführers weitergeleitet (vgl. A13/15, S. 3, 6). Die auf Vorhalt dieser Widersprüchlichkeit in den Angaben erfolgte Erklärung des Beschwerdeführers, wonach er sich - im Gegensatz zu heute - im ersten Asylverfahren nicht sicher gewesen sei, wer die Diskussion aufgenommen habe, erscheint wenig schlüssig und ist als Schutzbehauptung anzusehen, die nicht gehört werden kann. Des Weiteren grenzt der Umstand, dass in der Rechtsmittelschrift weiterhin behauptet wird, es handle sich auch bei der ersten zu den Akten gegebene Vorladung - welche im Wiedererwägungsverfahren E-3604/2010 als Fälschung gewürdigt wurde - um ein authentischen Dokument, an unseriöse Prozessführung und ist daher bei der Beurteilung des vorliegenden zweiten Asylverfahrens unberücksichtigt zu lassen. Erstaunlich ist ferner, dass im Wiedererwägungsgesuch zwar ausgeführt wurde, es sei zu gefährlich, Vorladungen im Original über die Grenze zu schmuggeln (vgl. A 25/3, S. 1), im vorliegenden Asylverfahren jedoch trotzdem ein Original zu den Akten gereicht wurde. Sodann ist in Übereinstimmung mit dem BFM festzuhalten, dass kein plausibler Grund ersichtlich ist, weshalb die Vorladung, datierend vom (...) Oktober 2010, erst anlässlich der Befragung vom 21. Dezember 2011 ins Recht gelegt wurde. Im Rahmen seiner Mitwirkungspflicht hätte vom Beschwerdeführer zumindest erwartet werden können, dass er - wie zuvor bei der im ersten Asylverfahren eingereichten Vorladung (vgl. A 17/1), welche er sich per E-Mail habe zustellen lassen - eine Kopie der Vorladung, mit dem Hinweis, das Original werde später folgen, zu den Akten reicht. Im Übrigen ist es nicht nachvollziehbar, dass die iranischen Behörden erst etwa anderthalb Jahre später - die ersten drei Vorladungen seien drei Wochen vor seiner Ausreise, ergo vor dem 13. April 2009 (vgl. A1/11, S. 7), zugestellt worden (vgl. A 13/15, S. 4, 7) - eine weitere Vorladung erlassen haben sollen. Nach dem Gesagten vermag auch die neu eingereichte Gerichtsvorladung die Unglaubhaftigkeit der Vorbringen des Beschwerdeführers nicht umzustossen. Vielmehr erhärten die in den Asylverfahren entstandenen widersprüchlichen Angaben und Tatsachendefizite die Zweifel an der vorgebrachten Verfolgungsgeschichte des Beschwerdeführers. Zusammenfassend ergeben sich im vorliegenden Fall keine Hinweise auf seit Abschluss des ersten Asylverfahrens eingetretene Ereignisse, die geeignet wären, die Flüchtlingseigenschaft des Beschwerdeführers zu begründen, oder für die Gewährung des vorübergehenden Schutzes relevant wären. Die Vorinstanz ist mithin zu Recht in Anwendung von Art. 32 Abs. 2 Bst. e AsylG auf das zweite Asylgesuch des Beschwerdeführers nicht eingetreten.</w:t>
      </w:r>
    </w:p>
    <w:p>
      <w:r>
        <w:rPr>
          <w:b/>
        </w:rPr>
        <w:t>E. 5.1</w:t>
      </w:r>
    </w:p>
    <w:p>
      <w:r>
        <w:t>Lehnt das BFM das Asylgesuch ab oder tritt es darauf nicht ein, so verfügt es in der Regel die Wegweisung aus der Schweiz und ordnet den Vollzug an (Art. 44 Abs. 1 AsylG).</w:t>
      </w:r>
    </w:p>
    <w:p>
      <w:r>
        <w:rPr>
          <w:b/>
        </w:rPr>
        <w:t>E. 5.2</w:t>
      </w:r>
    </w:p>
    <w:p>
      <w:r>
        <w:t>Der Beschwerdeführer besitzt keine Aufenthalts- oder Niederlas­sungsbewilligung oder einen entsprechenden Anspruch, weshalb die Vorinstanz gestützt auf Art. 44 Abs. 1 AsylG zu Recht seine Wegweisung ver­fügt hat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 Heimatland ist demnach unter dem Aspekt von Art. 5 AsylG rechtmässig. Sodann ergeben sich weder aus den Aussagen des Beschwerdeführers noch aus den Akten Anhaltspunkte dafür, dass er für den Fall einer Ausschaffung in das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wohin die Rückkehr des Beschwerdeführers erfolgen soll,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w:t>
      </w:r>
    </w:p>
    <w:p>
      <w:r>
        <w:t>Der Vollzug der Wegweisung des Beschwerdeführers in den Iran ist als zumutbar im Sinne von Art. 83 Abs. 4 AuG zu erachten, da er bei einer Rückkehr ins Heimatland nicht einer konkreten Gefährdungssituation im Sinne der zu beachtenden Bestimmung ausgesetzt würde. Im Iran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und sozialer Natur in eine existenzbedrohende Situation geraten würden, zumal es sich bei ihm um einen jungen Mann handelt, welcher neun Jahre Schulbildung sowie Berufserfahrung als [Beruf] aufweisen kann. Zudem verfügt er im Iran über ein familiäres Beziehungsnetz, weshalb davon auszugehen ist, dass er sich nach einer Rückkehr in die Heimat gesellschaftlich und beruflich reintegrieren wird. Insgesamt bestehen somit keine konkreten Anzeichen dafür, dass er bei einer Rückkehr in sein Heimatland in eine existenzielle Notlage geraten würden. Der Vollzug der Wegweisung erweist sich demnach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Zusammenfassend hat die Vorinstanz den Wegweisungsvollzug zu Recht als zulässig, zumutbar und möglich erachtet. Nach dem Gesagten fällt eine Anordnung der vorläufigen Aufnahme ausser Betracht (Art. 83 Abs. 1 - 4 AuG).</w:t>
      </w:r>
    </w:p>
    <w:p>
      <w:r>
        <w:rPr>
          <w:b/>
        </w:rPr>
        <w:t>E. 7</w:t>
      </w:r>
    </w:p>
    <w:p>
      <w:r>
        <w:t>Dem Beschwerdeführer ist es nach dem Gesagten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