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E-913/2018 vom 12. Oktober 2018</w:t>
      </w:r>
    </w:p>
    <w:p>
      <w:r>
        <w:t>Bundesverwaltungsgericht, 2018-10-12, FR</w:t>
      </w:r>
    </w:p>
    <w:p>
      <w:r>
        <w:rPr>
          <w:b/>
        </w:rPr>
        <w:t xml:space="preserve">Quelle: </w:t>
      </w:r>
      <w:r>
        <w:t>https://mcp.opencaselaw.ch/entscheid/bvger_E-913_2018</w:t>
      </w:r>
    </w:p>
    <w:p>
      <w:r>
        <w:t>FR: TAF E-913/2018 du 12 octobre 2018</w:t>
      </w:r>
    </w:p>
    <w:p>
      <w:r>
        <w:t>IT: TAF E-913/2018 del 12 ottobre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Tribunal observe qu'au moment du dépôt de son recours, l'intéressé était mineur. Pour la suite de la procédure toutefois, la question de sa minorité n'est plus d'actualité, étant donné que le recourant est devenu majeur, le 1er août 2016. Le Tribunal constate néanmoins que l'intéressé a bénéficié des mesures de protection spéciales réservées aux requérants d'asile mineurs et que le 28 octobre 2018, il s'est vu attribuer, par l'autorité cantonale compétente, l'encadrement par deux curatrices. Quant au reproche formulé à l'égard du SEM, selon lequel dite autorité aurait abusivement attendu sa majorité pour l'interroger sur ses motifs d'asile, celui-ci est ne repose sur aucun élément concret. Au demeurant, cette situation n'a pas empêché le recourant d'exposer, de manière complète et libre, l'ensemble de ses motifs d'asile. Dans ces conditions, toutes les garanties procédurales liées au droit d'être entendu ont été respectées.</w:t>
      </w:r>
    </w:p>
    <w:p>
      <w:r>
        <w:rPr>
          <w:b/>
        </w:rPr>
        <w:t>E. 4</w:t>
      </w:r>
    </w:p>
    <w:p>
      <w:r>
        <w:t>En l'espèce, le recourant déclare avoir quitté son pays d'origine d'une part en raison de conditions de vie difficiles et pour avoir un meilleur avenir et, d'autre part, par crainte d'être enrôlé dans l'armée voire de subir des persécutions pour avoir refusé de servir.</w:t>
      </w:r>
    </w:p>
    <w:p>
      <w:r>
        <w:rPr>
          <w:b/>
        </w:rPr>
        <w:t>E. 4.1</w:t>
      </w:r>
    </w:p>
    <w:p>
      <w:r>
        <w:t>S'agissant du premier grief, il convient de souligner que les difficultés consécutives à une crise socio-économique (pauvreté, conditions d'existence précaires, difficultés à trouver un emploi et un logement, revenus insuffisants, absence de toute perspective d'avenir) ou à la désorganisation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4.2</w:t>
      </w:r>
    </w:p>
    <w:p>
      <w:r>
        <w:t>Pour ce qui est de la crainte de l'intéressé d'être enrôlé voire de subir des persécutions pour avoir refusé de servir, 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reconnaissance de la qualité de réfugié (cf. arrêt du Tribunal E-1740/2016 du 9 février 2018, consid. 5.1).</w:t>
      </w:r>
    </w:p>
    <w:p>
      <w:r>
        <w:rPr>
          <w:b/>
        </w:rPr>
        <w:t>E. 4.3</w:t>
      </w:r>
    </w:p>
    <w:p>
      <w:r>
        <w:t>Cela dit, en l'espèce, aucun élément du dossier ne laisse apparaître que l'intéressé se trouvait effectivement dans une situation de risque d'être enrôlé. En effet, selon ses propres déclarations, il n'a jamais été en contact direct avec les autorités militaires de son pays, il n'a aucunement été impliqué dans des rafles ayant prétendument eu lieu dans sa région. Il n'a d'ailleurs pas rendu vraisemblable que les militaires s'étaient effectivement rendus chez lui à deux reprises ; il ne s'agit ici que d'une simple affirmation de sa part. Quant à la convocation prétendument laissée à son attention, elle n'est aucunement pertinente. En effet, l'intéressé a lui-même déclaré qu'il s'agissait d'un document demandant qu'il se rend à l'école avec ses parents. L'affirmation selon laquelle les soldats chercheraient de cette manière attirer les jeunes pour les envoyer à Sawa n'est qu'une simple conjoncture de sa part. Elle n'est par ailleurs pas cohérente. En effet, il est difficile d'imaginer que les militaires qui cherchent à recruter des jeunes les demandent à se présenter avec leurs parents. Partant, les déclarations de l'intéressé sur ce point, inconsistantes et improbables, ne sont pas crédibles (cf. art. 7 LAsi).</w:t>
      </w:r>
    </w:p>
    <w:p>
      <w:r>
        <w:rPr>
          <w:b/>
        </w:rPr>
        <w:t>E. 5</w:t>
      </w:r>
    </w:p>
    <w:p>
      <w:r>
        <w:t>L'intéressé affirme encore avoir quitté l'Erythrée illégalement. La question à examiner est donc celle de savoir s'il peut, sans bénéficier de l'asile comme le prévoit l'art. 54 LAsi, se voir reconnaître la qualité de réfugié.</w:t>
      </w:r>
    </w:p>
    <w:p>
      <w:r>
        <w:rPr>
          <w:b/>
        </w:rPr>
        <w:t>E. 5.1</w:t>
      </w:r>
    </w:p>
    <w:p>
      <w:r>
        <w:t>Sur ce point, il convient de rappeler que 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5.2</w:t>
      </w:r>
    </w:p>
    <w:p>
      <w:r>
        <w:t>Il s'ensuit que le recours, en tant qu'il conteste le refus de l'asile et de la qualité de réfugié,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8.6</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8.7</w:t>
      </w:r>
    </w:p>
    <w:p>
      <w:r>
        <w:t>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8.8</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9.2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9.3</w:t>
      </w:r>
    </w:p>
    <w:p>
      <w:r>
        <w:t>En l'espèce, il ne ressort du dossier aucun élément défavorable dont on pourrait inférer que l'exécution du renvoi impliquerait une mise en danger concrète du recourant. A cet égard, le Tribunal relève qu'il est jeune, sans charge de famille, n'a pas allégué de problème de santé particulier.</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L'assistance judiciaire ayant été accordée, il n'y a pas lieu de percevoir de frais (art. 65 al. 1 PA).</w:t>
      </w:r>
    </w:p>
    <w:p>
      <w:r>
        <w:rPr>
          <w:b/>
        </w:rPr>
        <w:t>E. 13</w:t>
      </w:r>
    </w:p>
    <w:p>
      <w:r>
        <w:t>En l'espèce, en l'absence de note de frais, le Tribunal fixe le montant de l'indemnité du mandataire d'office sur la base du dossier (art. 14 al. 1 et 2 du règlement du 21 février 2008 concernant les frais, dépenses et indemnités fixés par le Tribunal administratif fédéral [FITAF, RS 173.320.2]). Vu les articles 8 al. 2 et 10 al. 2 FITAF et eu égard au temps de travail nécessaire pour la présente procédure de recours, l'indemnité octroyée au mandataire d'office est de 1'800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