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E-912/2021 vom 12. Mai 2021</w:t>
      </w:r>
    </w:p>
    <w:p>
      <w:r>
        <w:t>Bundesverwaltungsgericht, 2021-05-12, DE</w:t>
      </w:r>
    </w:p>
    <w:p>
      <w:r>
        <w:rPr>
          <w:b/>
        </w:rPr>
        <w:t xml:space="preserve">Quelle: </w:t>
      </w:r>
      <w:r>
        <w:t>https://mcp.opencaselaw.ch/entscheid/bvger_E-912_2021</w:t>
      </w:r>
    </w:p>
    <w:p>
      <w:r>
        <w:t>FR: TAF E-912/2021 du 12 mai 2021</w:t>
      </w:r>
    </w:p>
    <w:p>
      <w:r>
        <w:t>IT: TAF E-912/2021 del 12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Der Beschwerdeführer äussert in der Beschwerdeschrift den Einwand, er sei aufgrund der traumatisierenden Ereignisse auf der Flucht zum Zeitpunkt der Anhörung nicht vernehmungsfähig gewesen. Sein psychischer Zustand sei damals noch nicht einmal ansatzweise ärztlich beurteilt gewesen. Er habe sich zudem nicht frei äussern können, zumal die Befragung durch den Sachbearbeiter des SEM dominiert und in entsprechende Bahnen geführt worden sei. An dessen Befragungsart lasse sich erkennen, dass er darauf abgezielt habe, den Beschwerdeführer zu verunsichern und in Erklärungsnot zu bringen. Damit rügt er sinngemäss eine Verletzung des rechtlichen Gehörs sowie des Untersuchungsgrundsatzes. Diese formellen Rügen sind vorab zu behandeln, da deren Gutheissung gegebenenfalls geeignet sind, eine Kassation der erstinstanzlichen Verfügung zu bewirken (vgl. BVGE 2013/34 E. 4.2; Kölz/Häner/Bertschi, Verwaltungsverfahren und Verwaltungsrechtspflege des Bundes; 3. Aufl. 2013, Rz. 1043 ff. m.w.H.).</w:t>
      </w:r>
    </w:p>
    <w:p>
      <w:r>
        <w:rPr>
          <w:b/>
        </w:rPr>
        <w:t>E. 4.2</w:t>
      </w:r>
    </w:p>
    <w:p>
      <w:r>
        <w:t>Der in Art. 29 Abs. 2 BV garantierte Grundsatz des rechtlichen Gehörs wird für das Verwaltungsverfahren in Art. 26-33 VwVG konkretisiert. Dem verfassungsmässigen Grundsatz des rechtlichen Gehörs erwachsen behördliche Pflichten, wie insbesondere die Untersuchungspflicht. Das AsylG als lex specialis zum VwVG sieht für das Asylverfahren besondere Verfahrensbestimmungen vor (Art. 6-17 AsylG). 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 Im Asylverfahren wird der Untersuchungsgrundsatz durch Art. 13 VwVG in Verbindung mit Art. 8 AsylG beschränkt, weil diese Bestimmungen im Asylverfahren eine Mitwirkungspflicht der asylsuchenden Person bei der Sachverhaltsermittlung verlangen. Die in der Beschwerdeschrift erhobene Behauptung, der Beschwerdeführer sei zum Zeitpunkt der Anhörung nicht vernehmungsfähig gewesen, findet in den Akten keinen Niederschlag. Der an der Anhörung anwesende von Amtes wegen zugewiesene Rechtsvertreter hat keine solchen Bedenken geäussert. Dem Anhörungsprotokoll sind sodann auch keine Anhaltspunkte dafür zu entnehmen, dass der Beschwerdeführer den Fragen nicht folgen konnte. Im Gegenteil zeugt seine sich über zwei Protokollseiten erstreckende freie Rede, in der er chronologisch und ohne Unterbrüche seine Vorbringen wiedergibt, von einer hohen Konzentration während einer langen Zeitspanne. Hinweise auf eine Beeinträchtigung der Einvernahmefähigkeit des Beschwerdeführers im Zeitpunkt der Anhörung liegen nicht vor, weshalb der Befrager auch nicht gezwungen war, dieser Frage nachzugehen. Der gesundheitliche Zustand des Beschwerdeführers stand zum Zeitpunkt des Erlasses der angefochtenen Verfügung fest und gab zu keinen weiteren medizinischen Abklärungen Anlass. Eine Verletzung der Untersuchungspflicht ist damit nicht ersichtlich. Den gesundheitlichen Problemen des Beschwerdeführers wurde sodann im Rahmen der Prüfung des Wegweisungsvollzugs Rechnung getragen (vgl. Ziffer III 2.2 der angefochtenen Verfügung). Auch im Umstand, dass der Befrager nicht nach den Vorkommnissen in den (...) fragte, liegt keine Verletzung der Untersuchungspflicht, zumal diese nicht das Heimatland des Beschwerdeführers betreffen und somit flüchtlingsrechtlich nicht relevant sind. Ferner geht aus den Akten nicht hervor, dass der Befrager den Beschwerdeführer in Erklärungsnot hätte bringen wollen. Der Sachbearbeiter hat mehrmals versucht, vom Beschwerdeführer mehr Details zu seinen Vorbringen zu erfahren, indem er ihn insbesondere aufforderte, weitere Elemente zu nennen, Fragen teilweise umformulierte und sich nach Gedankengängen oder Gefühlsregungen erkundigte (vgl. SEM-Akten 1083449-17/23 [nachfolgend: A17/23] F92, F99-100, F130, F144, F147, F149-150). Ein solches Vorgehen ist nicht zu beanstanden, bezweckt doch die Anhörung eine möglichst umfassende Ermittlung des rechtserheblichen Sachverhalts, welcher dem Asylentscheid zugrunde gelegt wird. In Bezug auf den Einwand, der Beschwerdeführer sei nicht anwaltlich vertreten gewesen, ist festzuhalten, dass gemäss Art. 102i Abs. 4 AsylG auch Personen mit universitärem juristischem Hochschulabschluss, die sich beruflich mit der Beratung und Vertretung von Asylsuchenden befassen, zur Rechtsvertretung im Asylverfahren zugelassen sind. Es wäre dem Beschwerdeführer indessen unbenommen gewesen, bereits zu Beginn seines Asylverfahrens einen Anwalt beizuziehen. Schliesslich findet auch die Behauptung in der Beschwerdeschrift, der Beschwerdeführer sei nicht über seine Rechte und Pflichten informiert worden, keine Stütze in den Akten. Sowohl bei der Personalienaufnahme als auch bei der Anhörung wurde der Beschwerdeführer einleitend über seine Rechte und Pflichten informiert und er hat beide Male bestätigt, sämtliche Punkte in der Einleitung verstanden zu haben beziehungsweise über seine Rechte und Pflichten informiert zu sein (vgl. S. 2 des Protokolls der Personalienaufnahme und A17/23 F2).</w:t>
      </w:r>
    </w:p>
    <w:p>
      <w:r>
        <w:rPr>
          <w:b/>
        </w:rPr>
        <w:t>E. 4.3</w:t>
      </w:r>
    </w:p>
    <w:p>
      <w:r>
        <w:t>Aufgrund der vorstehenden Erwägungen erweisen sich die formellen Rügen insgesamt als unbegründet, weshalb keine Veranlassung besteht, die vorinstanzliche Verfügung aufzuheben und die Sache an die Vorinstanz zurückzuweisen. Das Gericht hat folglich in der Sache zu entscheiden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Gemäss Rechtsprechung des Bundesverwaltungsgerichts beinhaltet die Glaubhaftigkeitsprüfung eine Gesamtbeurteilung aller Elemente (Übereinstimmung bezüglich des wesentlichen Sachverhaltes, Substanziiertheit und Plausibilität der Angaben sowie persönliche Glaubwürdigkeit, wobei die Sachverhaltsdarstellung nur glaubhaft sein kann, wenn die positiven Elemente überwiegen [vgl. dazu BVGE 2015/3 E. 6.5.1 m.w.H.]).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(vgl. BVGE 2012/5 E. 2.2; 2010/57 E. 2.3).</w:t>
      </w:r>
    </w:p>
    <w:p>
      <w:r>
        <w:rPr>
          <w:b/>
        </w:rPr>
        <w:t>E. 6.1</w:t>
      </w:r>
    </w:p>
    <w:p>
      <w:r>
        <w:t>Zur Begründung ihres ablehnenden Entscheids führt die Vorinstanz aus, die Vorbringen des Beschwerdeführers seien unglaubhaft. Während er die polizeilichen Anhaltungen über knapp zwei Protokollseiten in freier Rede dargelegt habe, seien seine Antworten zu vertiefenden Fragen zu diesen Vorfällen allgemeingültig und undifferenziert geblieben. In seiner Aussageweise habe sich demnach ein Strukturbruch ergeben. Die Beschreibung der Polizisten sei stereotyp und allgemeingültig ausgefallen. Er habe die einzelnen Zusammentreffen nicht zeitlich einordnen können, sondern nur erwähnt, dass die Zeitabstände unterschiedlich - von einer Woche, zehn Tagen, bis zu einem Monat - gewesen seien. Auf die Frage, woran er erkannt habe, dass es sich bei den Verfolgern um Polizeibeamte gehandelt habe, habe er lediglich erwidert, dass diese Funkgeräte gehabt hätten und bewaffnet gewesen seien. Seinen Aussagen habe es an individualisierten Anhaltspunkten gefehlt, welche seine persönliche Betroffenheit zum Ausdruck bringen würden. Er habe auch nicht angeben können, von welcher Einheit die Polizisten gewesen seien. Seine diesbezügliche Erklärung, er habe dies nicht fragen können, weil die Türkei ein Polizeistaat sei, sei als Schutzbehauptung zu werten. Er habe nämlich gleichzeitig ausgesagt, nach dem Grund gefragt zu haben, weshalb ausgerechnet er für die Spitzelarbeit ausgewählt worden sei. Es sei vor diesem Hintergrund nicht nachvollziehbar, dass er sich nicht auch nach der Einheit erkundigt habe. Auf die Frage, weshalb er die zwei Wochen vor seiner Ausreise ausgerechnet bei seinem in B._______ wohnhaften Freund verbracht habe, habe er auf eine oberflächliche Art geantwortet. Aufgrund seiner geltend gemachten Furcht sei zu erwarten gewesen, dass er seinen Aufenthaltsort für den Zeitraum bis zur Ausreise sorgfältig ausgewählt hätte und spontan sowie ausführlich über die Beweggründe berichten könnte. Seine vorgebrachte Verfolgung habe lokalen Charakter gehabt und sich auf sein Wohnquartier beschränkt. Es erstaune deshalb, dass er keine Vorsichtsmassnahmen getroffen habe, indem er beispielsweise das entsprechende Quartier gemieden hätte. Seine diesbezüglichen Aussagen enthielten keine Gefühlsregungen. Erst, als die Polizisten ihn zusammengeschlagen hätten, habe er Angst bekommen. Vor diesem Hintergrund sei nicht stichhaltig, dass er nach diesem Vorfall immer noch zu Hause geblieben sei, obwohl die Polizei seine Adresse gekannt habe. Er habe keine weiteren Nachforschungen bezüglich der Beweggründe der Polizei, ihn zum Spion zu verpflichten, und betreffend allfällige gegen ihn laufende Verfahren getätigt. Angesichts dessen mute es befremdend an, dass er sogleich die drastische Massnahme der Ausreise gewählt habe. Bei derartig vielen Anhaltungen wäre ein grosses Behördeninteresse vorauszusetzen, weshalb nicht nachvollziehbar sei, dass die Beamten ihn immer wieder hätten gehen lassen. Angesichts des gut dotierten Sicherheitsapparats und Geheimdienstes in der Türkei sei davon auszugehen, dass die Behörden ihn bei seinem Freund aufgespürt beziehungsweise bei seiner Familie nach ihm gesucht hätten. Die geltend gemachten Vorfälle, welche seine Familie in C._______ erlebt habe, würden lange zurückliegen, womit sie keinen Kausalzusammenhang mit seiner Ausreise aufweisen würden. Die vorgebrachte in D._______ festgestellte Flüchtlingseigenschaft seiner Grosseltern stehe ebenfalls in keinem Zusammenhang mit seinen Vorbringen. Dasselbe gelte für die geltend gemachten Asylgründe seiner Tanten, welche in der Schweiz lebten. Schliesslich sei er weder politisch aktiv noch inhaftiert gewesen. Dementsprechend lasse sich auch nichts aus seiner oppositionellen Einstellung gegen die AKP-Regierung ableiten.</w:t>
      </w:r>
    </w:p>
    <w:p>
      <w:r>
        <w:rPr>
          <w:b/>
        </w:rPr>
        <w:t>E. 6.2</w:t>
      </w:r>
    </w:p>
    <w:p>
      <w:r>
        <w:t>Dem entgegnet der Beschwerdeführer auf Beschwerdeebene, er sei vom Befrager nicht angehalten worden, in Bezug auf die Beschreibung der Polizisten noch mehr ins Detail zu gehen. Er sei von den genannten Personen weder gefoltert noch stundenlang festgehalten worden, weshalb nicht einzusehen sei, dass er sich an mehr hätte erinnern müssen. Bei den kurzen Anhaltungen habe nicht das Aussehen der Polizisten, sondern das Gesagte im Vordergrund gestanden. Es könne von ihm keine umfassende Analyse betreffend Merkmale verlangt werden, welche einen Polizeibeamten in der Türkei ausmachten. Auf seinem Bildungsniveau müsse die Aussage betreffend Waffen und Funkgeräte genügen, um als Erklärung zu fungieren. Es sei allgemein bekannt, dass die türkischen Polizeibehörden mit kurdischen Minderheiten nicht zimperlich umgingen. Seine Aussage, er habe nicht nach der Einheit gefragt, weil die Türkei ein Polizeistaat sei, sei deshalb keine Schutzbehauptung und im Kontext seiner Herkunftsgeschichte zu verstehen. Er stamme aus bescheidenen Verhältnissen, weshalb es nachvollziehbar sei, dass er weder die Kapazitäten noch die reale Möglichkeit gehabt habe, das Land innert Kürze zu verlassen. Er sei auf einen Mittelsmann angewiesen gewesen, welcher ihm einen Flug habe organisieren können. Er habe ausserhalb von B._______ keine greifbaren Bekanntschaften, weil er ein zurückgezogenes Leben führe. Er habe sodann nicht genügend finanzielle Ressourcen gehabt, um sich an einem anderen Ort in der Türkei niederzulassen. Zudem habe er nicht auf ein soziales Netzwerk ausserhalb seines Heimatortes zurückgreifen können, welches ihm Schutz gewährt hätte. Vor dem Hintergrund der staatlichen Verfolgung hätte es ohnehin wenig Sinn gemacht, dass er innerhalb der Türkei den Wohnort gewechselt hätte. Es sei durchaus nachvollziehbar, dass er anfangs angenommen habe, irgendwann wieder in Ruhe gelassen zu werden. Der Ernst der Lage sei ihm erst nach der Gewaltanwendung und den Drohungen bewusstgeworden. Danach sei er nicht sofort ausgereist, da er mit den Polizisten eine Überlegungsfrist vereinbart habe und davon ausgegangen sei, sie würden ihn bis zum Ablauf derselben in Ruhe lassen. Es entbehre jeglicher Logik anzunehmen, dass er die Beweggründe einer korrupten Staatsgewalt eruieren könne. Ihm hätte es ohnehin nichts genützt zu wissen, weshalb er für die Spitzelarbeit ausgewählt worden sei. Er habe nicht behauptet, dass er von offizieller Seite behördlich verfolgt worden sei oder dass ein Haftbefehl gegen ihn vorgelegen habe. Das Vorgehen der Polizei habe vorliegend wohl kaum einen offiziellen Charakter gehabt. Deshalb sei auch nicht zu befürchten gewesen, dass er am Flughafen direkt verhaftet worden wäre. Die Gefahr, bei seinem Freund aufgespürt zu werden, stelle er nicht in Abrede. Ein diesbezügliches Risiko hätte aber auch bestanden, wenn er sich weiter weg in der Türkei versteckt hätte. Zwei seiner näheren Familienmitglieder hätten politisches Asyl erhalten, weshalb es glaubhaft sei, dass er und seine Familie fichiert seien. Eine politische Gesinnung werde ihm deshalb aufgrund seiner Familiengeschichte ohnehin zugeschrieben, auch wenn er diese nicht offen herausgetragen habe. Er habe deshalb allen Grund zur Annahme gehabt, dass seine Verfolgung mit den Anhaltungen und der Gewaltanwendung gerade erst begonnen habe.</w:t>
      </w:r>
    </w:p>
    <w:p>
      <w:r>
        <w:rPr>
          <w:b/>
        </w:rPr>
        <w:t>E. 7.1</w:t>
      </w:r>
    </w:p>
    <w:p>
      <w:r>
        <w:t>Die Vorinstanz ist zur zutreffenden Erkenntnis gelangt, dass die Vorbringen des Beschwerdeführers unglaubhaft sind. Um Wiederholungen zu vermeiden, kann auf die vorinstanzlichen Erwägungen verwiesen werden.</w:t>
      </w:r>
    </w:p>
    <w:p>
      <w:r>
        <w:rPr>
          <w:b/>
        </w:rPr>
        <w:t>E. 7.2</w:t>
      </w:r>
    </w:p>
    <w:p>
      <w:r>
        <w:t>Insbesondere ist in Übereinstimmung mit der Vorinstanz festzuhalten, dass bei einem Vergleich der freien Schilderung der Asylgründe mit den Antworten auf die darauffolgenden Fragen ein deutlicher Bruch in der Erzählstruktur bemerkbar ist. Während er seine Vorbringen in freier Rede ausführlich darlegt, fällt die Beantwortung der Fragen äusserst knapp aus (vgl. A17/23 F77, F96, F99-100, F128). Nicht nachvollziehbar ist die Entscheidung des Beschwerdeführers, nach der angeblichen Todesdrohung durch die Polizei noch zwei Wochen in B._______ zu verbringen und somit den Ablauf der Überlegungsfrist in Kauf zu nehmen, welche die Polizeibeamten ihm gewährt hätten. Es wäre zu erwarten gewesen, dass er sich, nachdem ihm der Ernst der Lage bewusst geworden sei, zumindest bis zum Zeitpunkt der Ausreise aus der Türkei weiter weg von seinem Quartier aufgehalten hätte, anstatt zunächst zuhause und dann - nach der Todesdrohung - weitere zwei Wochen in einem anderen Quartier derselben Stadt zu bleiben. Sein Erklärungsversuch, er lebe zurückgezogen und habe ausserhalb von B._______ keine greifbaren Bekanntschaften, vermag nicht zu überzeugen. Gemäss seinen Aussagen hat er zwei Tanten, welche an anderen Orten in der Türkei (E._______ und F._______) wohnen (vgl. A17/23 F48). Hätte er tatsächlich befürchtet, dass die Polizisten nach Ablauf der Frist ihre Drohungen in die Tat umsetzten, wäre zu erwarten gewesen, dass er sich sofort von der Stadt entfernt hätte, in welcher ihm Schwierigkeiten drohten. Vor allem vor dem Hintergrund der auf Beschwerdeebene erwähnten bescheidenen Verhältnisse sowie fehlenden Auslandserfahrung wäre ein Umzug innerhalb des Landes naheliegender gewesen, zumal er nach eigenen Angaben davon ausgegangen ist, dass kein Haftbefehl gegen ihn vorliege und die Verfolgung keinen offiziellen Charakter habe. Der Umstand, dass er weder im Haus seiner Eltern noch bei seinem Freund aufgesucht worden ist, stützt die Einschätzung, dass er keine asylrelevante Verfolgung zu befürchten hatte.</w:t>
      </w:r>
    </w:p>
    <w:p>
      <w:r>
        <w:rPr>
          <w:b/>
        </w:rPr>
        <w:t>E. 7.3</w:t>
      </w:r>
    </w:p>
    <w:p>
      <w:r>
        <w:t>Überdies leuchtet nicht ein, warum die Polizeibeamten gerade den Beschwerdeführer als Spitzel auswählen sollten. Gemäss den einschlägigen Herkunftsländerinformationen stehen für die Ausführung von Spitzelarbeiten insbesondere Studierende, Journalisten und Journalistinnen sowie Aktivisten und Aktivistinnen im Visier der Behörden (vgl. Human Rights Association, IHD special report on testimonies, interviews, forced informant-making through methods of coercion and threat, and abduction cases, 16. November 2018, &lt; https://ihd.org.tr/en/ihd-special-report-on-testimonies-interviews-forced-informant-making-through-methods-of-coercion-and-threat-and-abduction-cases/ &gt;, abgerufen am 28. April 2021). Auch Kurden und Kurdinnen würden teilweise als Spitzel rekrutiert, insbesondere solche mit politisch aktiven Familienmitgliedern (vgl. UK Home Office, Report of a Home Office Fact-Finding Mission, Turkey: Kurds, the HDP and the PKK, Oktober 2019, S. 57, &lt; https://assets.publishing.service.gov.uk/government/uploads/system/uploads/attachment_data/file/850840/turkey-ffm-report-2019.pdf &gt;, abgerufen am 28. April 2021). Die obengenannte Aufzählung der Personengruppen, welche sich in den Augen der türkischen Sicherheitsbehörden im Besonderen als Spitzel eignen, ist nicht abschliessend. Der Fokus liegt indessen auf Personen mit einem ausgeprägten Beziehungsnetz, zumal die Behörden mit deren Hilfe versuchen, ihr Netzwerk auszubreiten (vgl. UK Home Office, a.a.O., S. 98 ff.). Der Beschwerdeführer (...) und gibt selbst an, ein zurückgezogenes Leben geführt zu haben (vgl. SEM-Akten 1083449-11/10 Ziffer 1.17.03; A17/23 F77). Gerade im Hinblick auf seine (...) ist nicht erkennbar, wie er insbesondere PKK-Mitglieder hätte ausfindig machen sollen. Überdies war er eigenen Angaben zufolge nicht politisch aktiv (vgl. A17/23 F73). Er macht auch keine politischen Aktivitäten seiner Familie geltend. Aus den Akten gehen auch sonst keine Anhaltspunkte dafür hervor, dass die türkischen Behörden irgendein Interesse daran gehabt haben könnten, gerade ihn als Spitzel zu rekrutieren. Dass er lediglich aufgrund der geltend gemachten Anerkennung der Flüchtlingseigenschaft seiner Grosseltern beziehungsweise des Aufenthalts zwei seiner Tanten in der Schweiz ins Visier der Behörden geraten sein soll, vermag - wie die Vorinstanz zutreffend festhält - nicht zu überzeugen, zumal er nicht geltend macht, dass sich Letztere oppositionspolitisch betätigt hätten.</w:t>
      </w:r>
    </w:p>
    <w:p>
      <w:r>
        <w:rPr>
          <w:b/>
        </w:rPr>
        <w:t>E. 7.4</w:t>
      </w:r>
    </w:p>
    <w:p>
      <w:r>
        <w:t>Zusammenfassend hat der Beschwerdeführer nichts vorgebracht, was geeignet wäre, seine Flüchtlingseigenschaft nachzuweisen oder zumindest glaubhaft zu machen.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Auch unter Berücksichtigung des Wiederaufflammens des türkisch-kurdischen Konfliktes sowie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Urteile des BVGer E-1716/2020 vom 22. April 2020 E. 7.4.1 und E-2182/2020 vom 17. Dezember 2020 E. 12.4.1 je m. H.). Bei G._______ handelt es sich sodann nicht um eine Provinz, bei der die geltende Rechtsprechung des Bundesverwaltungsgerichts von der generellen Unzumutbarkeit des Vollzugs von Wegweisungen ausgeht (vgl. BVGE 2013/2 E. 9.6). In individueller Hinsicht ist festzuhalten, dass der Beschwerdeführer in der Türkei die Schule besucht hat und jahrelang erwerbstätig war (vgl. A17/23 F15-38). Er ist jung und ohne familiäre Verpflichtungen. Verschiedene nahe Angehörige leben nach wie vor in seinem Heimatstaat (vgl. a.a.O. F39-54) und es ist anzunehmen, dass er über ein intaktes familiäres Beziehungsnetz verfügt, welches ihn bei der Wiedereingliederung unterstützen kann. Dem ärztlichen Bericht vom 18. Dezember 2020 lässt sich entnehmen, dass dem Beschwerdeführer (...) (vgl. SEM-Akten 1083449-15/3). Er hat deshalb (...). Ausserdem leidet er unter einer (...), hat Schlafprobleme, starke Ängste aufgrund der Flucht und befindet sich in einer posttraumatischen Belastungssituation. Vorgesehen seien die Anmeldungen in einer transkulturellen Sprechstunde und in einer Schmerzsprechstunde sowie ein Kontrolltermin beim (...). Den Akten sind keine Hinweise dafür zu entnehmen, dass er auf die Einnahme von Medikamenten angewiesen wäre. Diesbezüglich ist festzuhalten, dass die Behandlung psychischer Probleme, wie sie im vorliegenden Fall geltend gemacht werden, in der Türkei sowohl stationär als auch ambulant möglich ist. Es existieren landesweit psychiatrische Einrichtungen und es stehen im Bedarfsfall auch moderne Psychopharmaka zur Verfügung. Insbesondere in türkischen Gross- und Provinzhauptstädten - darunter B._______, wo der Beschwerdeführer sein ganzes Leben bis zu seiner Ausreise verbracht hat - ist der Zugang zu Gesundheitsdiensten, Beratungsstellen und Behandlungseinrichtungen für psychische Erkrankungen gewährleistet (vgl. Referenzurteil E-1948/2018 vom 12. Juni 2018 E. 7.3.5.3 m.w.H.). Auch seine (...) können in der Türkei ohne weiteres behandelt werden. Es kann somit davon ausgegangen werden, dass der Beschwerdeführer eine allfällig notwendige medizinische Behandlung im Heimatstaat ebenfalls erhältlich machen könnte. Seine Behauptung, seine frühere Einnahmequelle im (...) sei durch die (...) unwiderruflich erloschen, ist weder belegt noch begründet. Aus den medizinischen Akten geht die in der Beschwerdeschrift behauptete Arbeitsunfähigkeit nicht hervor. Abschliessend kann der Beschwerdeführer auf die Möglichkeit hingewiesen werden, dem SEM bei Bedarf einen Antrag auf Gewährung medizinischer Rückkehrhilfe zu stellen (vgl. Art. 93 Abs. 1 Bst. d AsylG und Art. 75 der Asylverordnung 2 vom 11. August 1999 [AsylV 2, SR 142.312]). Bei dieser Aktenlage ist nicht davon auszugehen, er würde nach einer Rückkehr in eine existenzbedrohende Lage geraten.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sich die Rechtsbegehren vorliegend nicht als aussichtslos erwiesen haben und aufgrund der Akten von der Bedürftigkeit des Beschwerdeführers auszugehen ist, ist das Gesuch um Gewährung der unentgeltlichen Prozessführung (Art 65 Abs. 1 VwVG) gutzuheissen. Es sind demnach keine Verfahrenskosten aufzuerlegen.</w:t>
      </w:r>
    </w:p>
    <w:p>
      <w:r>
        <w:rPr>
          <w:b/>
        </w:rPr>
        <w:t>E. 11.2</w:t>
      </w:r>
    </w:p>
    <w:p>
      <w:r>
        <w:t>Das Gesuch um Gewährung der unentgeltlichen Rechtsverbeiständung ist ebenfalls gutzuheissen (Art. 102m Abs. 1 Bst. a AsylG) und dem Beschwerdeführer ist antragsgemäss die rubrizierte Rechtsvertreterin als amtliche Rechtsbeiständin beizuordnen. Aufgrund der Einsetzung der Rechtsvertreterin als amtliche Rechtsbeiständin ist dieser ein entsprechendes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aus (Art. 12 i.V.m. Art. 10 Abs. 2 VGKE), wobei nur der notwendige Aufwand zu entschädigen ist (Art. 8 Abs. 2 VGKE). Die Rechtsvertreterin hat für das Beschwerdeverfahren keine Kostennote zu den Akten gereicht, weshalb das Gericht die auszurichtende Entschädigung von Amtes wegen festsetzt. Gestützt auf die in Betracht zu ziehenden Bemessungsfaktoren (Art. 9-13 VGKE) ist das amtliche Honorar auf Fr. 1'300.-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