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E-911/2015 vom 27. Februar 2015</w:t>
      </w:r>
    </w:p>
    <w:p>
      <w:r>
        <w:t>Bundesverwaltungsgericht, 2015-02-27, DE</w:t>
      </w:r>
    </w:p>
    <w:p>
      <w:r>
        <w:rPr>
          <w:b/>
        </w:rPr>
        <w:t xml:space="preserve">Quelle: </w:t>
      </w:r>
      <w:r>
        <w:t>https://mcp.opencaselaw.ch/entscheid/bvger_E-911_2015</w:t>
      </w:r>
    </w:p>
    <w:p>
      <w:r>
        <w:t>FR: TAF E-911/2015 du 27 février 2015</w:t>
      </w:r>
    </w:p>
    <w:p>
      <w:r>
        <w:t>IT: TAF E-911/2015 del 27 febbraio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entschieden (Art. 111 Bst. e AsylG). Vorliegend handelt es sich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Kann kein Mitgliedstaat gemäss diesen Kriterien bestimmt werden, ist derjenige Staat zuständig, in welchem das erste Asylgesuch gestellt wurde (Art. 3 Abs. 2 Satz 1 Dublin-III-VO). Erweist sich die Überweisung eines Antragstellers in den eigentlich zuständigen Mitgliedstaat als unmöglich, weil es wesentliche Gründe für die Annahme gibt, dass das dortige Asylverfahren und die Aufnahmebedingungen für Antragsteller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von Art. 23, 24, 25 und 29 wieder aufzunehmen (Art. 18 Abs. 1 Bst. d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führte zur Begründung seines Entscheides aus, aufgrund erheblicher Zweifel an der geltend gemachten Minderjährigkeit des Beschwerdeführers sei eine Handknochenanalyse zur Altersbestimmung ver­anlasst worden, die ein Knochenalter von 19 Jahren ergeben habe. Der Beschwerdeführer könne sein geltend gemachtes Alter mit keinen Identitätspapieren belegen und habe ungenaue Angaben zu Daten von Ereignissen in seinem Leben gemacht. Er sehe auch älter aus als angegeben. Er werde daher für das weitere Verfahren als volljährige Person behandelt.</w:t>
      </w:r>
    </w:p>
    <w:p>
      <w:r>
        <w:rPr>
          <w:b/>
        </w:rPr>
        <w:t>E. 5.2</w:t>
      </w:r>
    </w:p>
    <w:p>
      <w:r>
        <w:t>In der Beschwerde wird gerügt, das SEM habe das Geburtsdatum des Beschwerdeführers willkürlich auf den (...) festgesetzt, damit er nicht mehr als Minderjähriger gelte und nach Rumänien weggewiesen werden könne. Es sei bekannt, dass die Bestimmung des Alters mittels Handknochenanalyse Abweichungen von bis zu drei Jahren aufweisen könne. Da er (...) alt sei, sei die Analyse in seinem Fall nicht tauglich. Das SEM gehe davon aus, dass er nicht minderjährig sei, weil er keine Identitätspapiere vorlegen könne und sein Alter nur von den Angaben seiner Mutter kenne, welche sein Geburtsdatum in ihren Koran geschrieben habe. Die pauschale Annahme, dass er volljährig sei, sei nicht zulässig. Er habe immer angegeben, minderjährig zu sein. Die Anhörung zu seinem Leben sei so oberflächlich gewesen, dass daraus keine Rückschlüsse auf seine Glaubwürdigkeit gezogen werden könnten. Das SEM verletze seine Rechte als unbegleiteter minderjähriger Asylsuchender.</w:t>
      </w:r>
    </w:p>
    <w:p>
      <w:r>
        <w:rPr>
          <w:b/>
        </w:rPr>
        <w:t>E. 6.1</w:t>
      </w:r>
    </w:p>
    <w:p>
      <w:r>
        <w:t>Ein Fingerabdruckvergleich mit der Eurodac-Datenbank ergab, dass der Beschwerdeführer am 16. Oktober 2014 in Rumänien ein Asylgesuch eingereicht hatte. Das SEM erachtete ihn als nicht minderjährig und ersuchte deshalb die rumänischen Behörden am 14. Januar 2015 gestützt auf Art. 23 Dublin-III-VO um seine Wiederaufnahme. Diesem Gesuch stimmten die rumänischen Behörden am 27. Januar 2015 zu.</w:t>
      </w:r>
    </w:p>
    <w:p>
      <w:r>
        <w:rPr>
          <w:b/>
        </w:rPr>
        <w:t>E. 6.2</w:t>
      </w:r>
    </w:p>
    <w:p>
      <w:r>
        <w:t>Der Beschwerdeführer bestreitet nicht, in Rumänien Asyl verlangt zu haben, bleibt aber dabei, am (...) geboren zu sein.</w:t>
      </w:r>
    </w:p>
    <w:p>
      <w:r>
        <w:rPr>
          <w:b/>
        </w:rPr>
        <w:t>E. 6.3</w:t>
      </w:r>
    </w:p>
    <w:p>
      <w:r>
        <w:t>Das Bundesverwaltungsgericht kommt zum Schluss, dass die vom Beschwerdeführer geltend gemachte Minderjährigkeit nicht glaubhaft ist. Die im vorliegenden Fall durchgeführte Knochenaltersbestimmung hat ein Knochenalter ergeben, welches einem chronologischen Alter von 19 Jahren entspricht. Zwar lassen entsprechende Ergebnisse einer radiologischen Knochenaltersbestimmung keine sicheren Schlüsse auf die Voll- oder Minderjährigkeit zu und weisen generell nur einen beschränkten Aussagewert zur Bestimmung des tatsächlichen Alters auf (zur weiterhin geltenden Praxis vgl. Entscheidungen und Mitteilungen der Schweizerischen Asylrekurskommission [ARK; EMARK] 2000 Nr. 19 und 28, 2004 Nr. 30 und 31 sowie 2005 Nr. 16). Beschränkt ist der Aussagewert dann, wenn das behauptete Alter im Vergleich zum festgestellten Knochenalter um weniger als drei Jahre variiert. Die Handknochenanalyse gilt jedoch dann als Beweismittel mit erhöhtem Beweiswert, wenn der Unterschied zwischen dem angegebenen Alter und dem festgestellten Knochenalter mehr als drei Jahre beträgt. An solche "Gutachten" zur Altersbestimmung sind gewisse formale und inhaltliche Anforderungen zu stellen. Die vorliegend durchgeführte Analyse (A9/2), welche sich klarerweise auf den Beschwerdeführer bezieht, vermag den von der ARK stipulierten und vom Bundesverwaltungsgericht übernommenen inhaltlichen Anforderungen an Knochenaltersanalysen in einer Gesamtbetrachtung zu genügen, obwohl der Unterschied zwischen dem vom Beschwerdeführer angegebenen Alter von (im Zeitpunkt der Analyse) (...) und dem festgestellten Knochenalter von 19 Jahren nicht mehr als drei Jahre beträgt. Dennoch bestehen im Rahmen einer Gesamtwürdigung aller Umstände kaum ernsthafte Hinweise auf seine Minderjährigkeit. Er wurde zwar bei den rumänischen Behörden mit dem Geburtsdatum (...) verzeichnet, woraus zu schliessen ist, dass er sich auch dort als Minderjähriger ausgegeben hat. Er hat indessen weder in Rumänien noch in der Schweiz Dokumente eingereicht, die seine Minderjährigkeit belegen oder zumindest wahrscheinlich erscheinen lassen würden. Es ist auch nicht ersichtlich, dass er sich um den Erhalt solcher Dokumente bemüht hätte, was ihm als Verletzung seiner Mitwirkungspflicht gemäss Art. 8 AsylG anzulasten ist. Sodann ist mit der Vorinstanz festzustellen, dass er zu wichtigen Ereignissen in seinem Leben weder Jahreszahlen noch andere Einzelheiten nannte, und auf entsprechende Nachfrage angab, er habe diese vergessen (vgl. A14/4 S. 3). Auch auf Beschwerdeebene reichte er keine Dokumente ein und nannte keinen einzigen konkreten Hinweis für seine angebliche Minderjährigkeit. Statt der Vorinstanz vorzuwerfen, diese hätte ihn zum Beispiel sehr genau nach seinem Leben im Iran befragen können, hätte er in der Beschwerde beispielsweise sehr genau über sein Leben im Iran berichten können. Nach dem Gesagten sprechen überwiegende Umstände gegen seine Minderjährigkeit.</w:t>
      </w:r>
    </w:p>
    <w:p>
      <w:r>
        <w:rPr>
          <w:b/>
        </w:rPr>
        <w:t>E. 6.4</w:t>
      </w:r>
    </w:p>
    <w:p>
      <w:r>
        <w:t>Demnach erweisen sich die vorinstanzlichen Erwägungen hinsichtlich der Zuständigkeit als zutreffend, womit Rumänien zur Wiederaufnahme des Beschwerdeführers verpflichtet und für die Durchführung des vorliegenden Asyl- und Wegweisungsverfahrens zuständig ist.</w:t>
      </w:r>
    </w:p>
    <w:p>
      <w:r>
        <w:rPr>
          <w:b/>
        </w:rPr>
        <w:t>E. 6.5</w:t>
      </w:r>
    </w:p>
    <w:p>
      <w:r>
        <w:t>Im Lichte von Art. 3 Abs. 2 Dublin-III-VO ist zu prüfen, ob es wesentliche Gründe für die Annahme gibt, das Asylverfahren oder die Aufnahmebedingungen für Asylsuchende in Rumänien würden systemische Schwach­stellen aufweisen, die eine Gefahr einer unmenschlichen oder entwürdigenden Behandlung im Sinne von Art. 4 EU-Grundrechtecharta mit sich bringen würden.</w:t>
      </w:r>
    </w:p>
    <w:p>
      <w:r>
        <w:rPr>
          <w:b/>
        </w:rPr>
        <w:t>E. 6.5.1</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6.5.2</w:t>
      </w:r>
    </w:p>
    <w:p>
      <w:r>
        <w:t>Unter diesen Umständen ist die Anwendung von Art. 3 Abs. 2 Dublin-III-VO nicht gerechtfertigt.</w:t>
      </w:r>
    </w:p>
    <w:p>
      <w:r>
        <w:rPr>
          <w:b/>
        </w:rPr>
        <w:t>E. 6.6</w:t>
      </w:r>
    </w:p>
    <w:p>
      <w:r>
        <w:t>Der Beschwerdeführer verweist auf die Anwendung der Ermessensklausel von Art. 17 Abs. 1 Dublin-III-VO, welche zum Selbsteintritt der Schweiz und zur Beurteilung des Antrags auf internationalen Schutz durch dieses Land führen könne, ohne diese Norm in einen Kontext zu seiner persönlichen Situation und seinem Asylgesuch zu stellen.</w:t>
      </w:r>
    </w:p>
    <w:p>
      <w:r>
        <w:rPr>
          <w:b/>
        </w:rPr>
        <w:t>E. 6.6.1</w:t>
      </w:r>
    </w:p>
    <w:p>
      <w:r>
        <w:t>Es liegen keine Hinweise dafür vor, dass die Behandlung seines Asylgesuchs in Rumänien mangelhaft gewesen sein könnte und eine Wegweisung in Verletzung des Non-Refoulement-Prinzips verfügt worden wäre. In diesem Zusammenhang ist der Vollständigkeit halber festzustellen, dass ein definitiver Entscheid über ein Asylgesuch und die Wegweisung ins Heimatland nicht eo ipso eine Verletzung des Non-Refoulement-Prinzips darstellen. Das Prinzip der Überprüfung eines Asylgesuchs durch einen einzigen Mitgliedstaat ("one chance only") dient im Gegenteil der Vermeidung von multiplen Asylgesuchen in verschiedenen Staaten (sog. "asylum shopping"). Vorliegend führt die Überstellung des Beschwerde­führers nach Rumänien gemäss Akten nicht zu einer Kettenabschiebung, welche gegen das Non-Refoulement-Prinzip verstossen würde, wie es in Art. 33 FK und Art. 25 BV verankert ist (und sich auch aus Art. 4 EU-Grundrechtecharta, Art. 3 EMRK oder Art. 3 FoK ableiten lässt). Der Beschwerdeführer hat auch keine konkreten Hinweise für die Annahme dargetan, Rumänien würde ihm dauerhaft die ihm gemäss Aufnahmerichtlinie zustehenden minimalen Lebensbedingungen vorenthalten. Bei einer allfälligen vorübergehenden Einschränkung könnte er sich im Übrigen nötigenfalls an die rumänischen Behörden wenden und die ihm zustehenden Aufnahmebedingungen auf dem Rechtsweg einfordern (vgl. Art. 26 Aufnahmerichtlinie).</w:t>
      </w:r>
    </w:p>
    <w:p>
      <w:r>
        <w:rPr>
          <w:b/>
        </w:rPr>
        <w:t>E. 6.6.2</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der Asylverordnung 1 vom 11. August 1999 [AsylV 1, SR 142.311]).</w:t>
      </w:r>
    </w:p>
    <w:p>
      <w:r>
        <w:rPr>
          <w:b/>
        </w:rPr>
        <w:t>E. 8</w:t>
      </w:r>
    </w:p>
    <w:p>
      <w:r>
        <w:t>Da das Fehlen von Überstellungshindernissen bereits Voraussetzung eines Nichteintretensentscheides gemäss Art. 31a Abs. 1 Bst. b AsylG ist, sind allfällige Vollzugshindernisse im Sinne von Art. 83 Abs. 3 und 4 AuG (SR 142.20) nicht mehr zu prüfen (vgl. BVGE 2010/45 E. 10).</w:t>
      </w:r>
    </w:p>
    <w:p>
      <w:r>
        <w:rPr>
          <w:b/>
        </w:rPr>
        <w:t>E. 9</w:t>
      </w:r>
    </w:p>
    <w:p>
      <w:r>
        <w:t>Nach dem Gesagten ist die Beschwerde abzuweisen und die Verfügung des SEM zu bestätigen. Das Beschwerdeverfahren ist mit vorliegendem Urteil abgeschlossen, weshalb sich die Anträge auf Gewährung der aufschiebenden Wirkung und Verzicht auf die Erhebung eines Kostenvorschusses als gegenstandslos erweisen.</w:t>
      </w:r>
    </w:p>
    <w:p>
      <w:r>
        <w:rPr>
          <w:b/>
        </w:rPr>
        <w:t>E. 10</w:t>
      </w:r>
    </w:p>
    <w:p>
      <w:r>
        <w:t>Aufgrund der vorstehenden Erwägungen ist die Beschwerde als aussichtslos zu qualifizieren. Das Gesuch um Gewährung der unentgeltlichen Prozessführung im Sinne von Art. 65 Abs. 1 VwVG ist daher - ungeachtet der allfälligen Bedürftigkeit des Beschwerdeführers - abzuweisen. Bei diesem Ausgang sind die Verfahrenskosten von Fr. 600.-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